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rPr>
        <w:t>甘露醇联合高压氧对脑水肿</w:t>
      </w:r>
      <w:r>
        <w:rPr>
          <w:rFonts w:hint="eastAsia" w:ascii="宋体" w:hAnsi="宋体" w:eastAsia="宋体" w:cs="宋体"/>
          <w:b/>
          <w:bCs/>
          <w:color w:val="auto"/>
          <w:sz w:val="24"/>
          <w:szCs w:val="24"/>
          <w:highlight w:val="none"/>
          <w:lang w:val="en-US" w:eastAsia="zh-CN"/>
        </w:rPr>
        <w:t>疗效及神经功能的影响</w:t>
      </w:r>
    </w:p>
    <w:p>
      <w:pPr>
        <w:spacing w:line="360" w:lineRule="auto"/>
        <w:jc w:val="center"/>
        <w:rPr>
          <w:rFonts w:hint="eastAsia" w:ascii="宋体" w:hAnsi="宋体" w:eastAsia="宋体" w:cs="宋体"/>
          <w:b/>
          <w:bCs/>
          <w:color w:val="auto"/>
          <w:sz w:val="24"/>
          <w:szCs w:val="24"/>
          <w:highlight w:val="none"/>
          <w:lang w:val="en-US" w:eastAsia="zh-CN"/>
        </w:rPr>
      </w:pPr>
    </w:p>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马建平</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钟福香</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杨先坤</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梁水平</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郑云</w:t>
      </w:r>
    </w:p>
    <w:p>
      <w:pPr>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江西</w:t>
      </w:r>
      <w:r>
        <w:rPr>
          <w:rFonts w:hint="eastAsia" w:ascii="宋体" w:hAnsi="宋体" w:eastAsia="宋体" w:cs="宋体"/>
          <w:color w:val="auto"/>
          <w:sz w:val="24"/>
          <w:szCs w:val="24"/>
          <w:highlight w:val="none"/>
          <w:lang w:eastAsia="zh-CN"/>
        </w:rPr>
        <w:t>省</w:t>
      </w:r>
      <w:r>
        <w:rPr>
          <w:rFonts w:hint="eastAsia" w:ascii="宋体" w:hAnsi="宋体" w:eastAsia="宋体" w:cs="宋体"/>
          <w:color w:val="auto"/>
          <w:sz w:val="24"/>
          <w:szCs w:val="24"/>
          <w:highlight w:val="none"/>
        </w:rPr>
        <w:t>兴国县中医院</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兴国3424</w:t>
      </w:r>
      <w:r>
        <w:rPr>
          <w:rFonts w:hint="eastAsia" w:ascii="宋体" w:hAnsi="宋体" w:eastAsia="宋体" w:cs="宋体"/>
          <w:color w:val="auto"/>
          <w:sz w:val="24"/>
          <w:szCs w:val="24"/>
          <w:highlight w:val="none"/>
          <w:lang w:val="en-US" w:eastAsia="zh-CN"/>
        </w:rPr>
        <w:t>99</w:t>
      </w:r>
      <w:r>
        <w:rPr>
          <w:rFonts w:hint="eastAsia" w:ascii="宋体" w:hAnsi="宋体" w:eastAsia="宋体" w:cs="宋体"/>
          <w:color w:val="auto"/>
          <w:sz w:val="24"/>
          <w:szCs w:val="24"/>
          <w:highlight w:val="none"/>
          <w:lang w:eastAsia="zh-CN"/>
        </w:rPr>
        <w:t>）</w:t>
      </w:r>
    </w:p>
    <w:p>
      <w:pPr>
        <w:spacing w:line="360" w:lineRule="auto"/>
        <w:jc w:val="center"/>
        <w:rPr>
          <w:rFonts w:hint="eastAsia" w:ascii="宋体" w:hAnsi="宋体" w:eastAsia="宋体" w:cs="宋体"/>
          <w:color w:val="auto"/>
          <w:sz w:val="24"/>
          <w:szCs w:val="24"/>
          <w:highlight w:val="none"/>
          <w:lang w:eastAsia="zh-CN"/>
        </w:rPr>
      </w:pPr>
    </w:p>
    <w:p>
      <w:pPr>
        <w:spacing w:line="360" w:lineRule="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bCs/>
          <w:color w:val="auto"/>
          <w:sz w:val="24"/>
          <w:szCs w:val="24"/>
          <w:highlight w:val="none"/>
        </w:rPr>
        <w:t>摘要</w:t>
      </w: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sz w:val="24"/>
          <w:szCs w:val="24"/>
          <w:highlight w:val="none"/>
        </w:rPr>
        <w:t>目的</w:t>
      </w:r>
      <w:r>
        <w:rPr>
          <w:rFonts w:hint="eastAsia" w:ascii="宋体" w:hAnsi="宋体" w:eastAsia="宋体" w:cs="宋体"/>
          <w:b w:val="0"/>
          <w:bCs w:val="0"/>
          <w:color w:val="auto"/>
          <w:sz w:val="24"/>
          <w:szCs w:val="24"/>
          <w:highlight w:val="none"/>
          <w:lang w:eastAsia="zh-CN"/>
        </w:rPr>
        <w:t>：观察</w:t>
      </w:r>
      <w:r>
        <w:rPr>
          <w:rFonts w:hint="eastAsia" w:ascii="宋体" w:hAnsi="宋体" w:eastAsia="宋体" w:cs="宋体"/>
          <w:b w:val="0"/>
          <w:bCs w:val="0"/>
          <w:color w:val="auto"/>
          <w:sz w:val="24"/>
          <w:szCs w:val="24"/>
          <w:highlight w:val="none"/>
        </w:rPr>
        <w:t>脑水肿应用甘露醇与高压氧联合治疗的效果。方法</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选取兴国县中医院于2020年2月</w:t>
      </w:r>
      <w:r>
        <w:rPr>
          <w:rFonts w:hint="eastAsia" w:ascii="宋体" w:hAnsi="宋体" w:eastAsia="宋体" w:cs="宋体"/>
          <w:b w:val="0"/>
          <w:bCs w:val="0"/>
          <w:color w:val="auto"/>
          <w:sz w:val="24"/>
          <w:szCs w:val="24"/>
          <w:highlight w:val="none"/>
          <w:lang w:eastAsia="zh-CN"/>
        </w:rPr>
        <w:t>至</w:t>
      </w:r>
      <w:r>
        <w:rPr>
          <w:rFonts w:hint="eastAsia" w:ascii="宋体" w:hAnsi="宋体" w:eastAsia="宋体" w:cs="宋体"/>
          <w:b w:val="0"/>
          <w:bCs w:val="0"/>
          <w:color w:val="auto"/>
          <w:sz w:val="24"/>
          <w:szCs w:val="24"/>
          <w:highlight w:val="none"/>
        </w:rPr>
        <w:t>2022年2月收治的脑出血</w:t>
      </w:r>
      <w:r>
        <w:rPr>
          <w:rFonts w:hint="eastAsia" w:ascii="宋体" w:hAnsi="宋体" w:eastAsia="宋体" w:cs="宋体"/>
          <w:b w:val="0"/>
          <w:bCs w:val="0"/>
          <w:color w:val="auto"/>
          <w:sz w:val="24"/>
          <w:szCs w:val="24"/>
          <w:highlight w:val="none"/>
          <w:lang w:val="en-US" w:eastAsia="zh-CN"/>
        </w:rPr>
        <w:t>/</w:t>
      </w:r>
      <w:r>
        <w:rPr>
          <w:rFonts w:hint="eastAsia" w:ascii="宋体" w:hAnsi="宋体" w:eastAsia="宋体" w:cs="宋体"/>
          <w:b w:val="0"/>
          <w:bCs w:val="0"/>
          <w:color w:val="auto"/>
          <w:sz w:val="24"/>
          <w:szCs w:val="24"/>
          <w:highlight w:val="none"/>
        </w:rPr>
        <w:t>脑梗死继发脑水肿患者40例，</w:t>
      </w:r>
      <w:r>
        <w:rPr>
          <w:rFonts w:hint="eastAsia" w:ascii="宋体" w:hAnsi="宋体" w:eastAsia="宋体" w:cs="宋体"/>
          <w:color w:val="auto"/>
          <w:sz w:val="24"/>
          <w:szCs w:val="24"/>
          <w:highlight w:val="none"/>
        </w:rPr>
        <w:t>按治疗方案不同</w:t>
      </w:r>
      <w:r>
        <w:rPr>
          <w:rFonts w:hint="eastAsia" w:ascii="宋体" w:hAnsi="宋体" w:eastAsia="宋体" w:cs="宋体"/>
          <w:color w:val="auto"/>
          <w:sz w:val="24"/>
          <w:szCs w:val="24"/>
          <w:highlight w:val="none"/>
          <w:lang w:eastAsia="zh-CN"/>
        </w:rPr>
        <w:t>分</w:t>
      </w:r>
      <w:r>
        <w:rPr>
          <w:rFonts w:hint="eastAsia" w:ascii="宋体" w:hAnsi="宋体" w:eastAsia="宋体" w:cs="宋体"/>
          <w:b w:val="0"/>
          <w:bCs w:val="0"/>
          <w:color w:val="auto"/>
          <w:sz w:val="24"/>
          <w:szCs w:val="24"/>
          <w:highlight w:val="none"/>
        </w:rPr>
        <w:t>为对照组</w:t>
      </w:r>
      <w:r>
        <w:rPr>
          <w:rFonts w:hint="eastAsia" w:ascii="宋体" w:hAnsi="宋体" w:eastAsia="宋体" w:cs="宋体"/>
          <w:b w:val="0"/>
          <w:bCs w:val="0"/>
          <w:color w:val="auto"/>
          <w:sz w:val="24"/>
          <w:szCs w:val="24"/>
          <w:highlight w:val="none"/>
          <w:lang w:eastAsia="zh-CN"/>
        </w:rPr>
        <w:t>与</w:t>
      </w:r>
      <w:r>
        <w:rPr>
          <w:rFonts w:hint="eastAsia" w:ascii="宋体" w:hAnsi="宋体" w:eastAsia="宋体" w:cs="宋体"/>
          <w:b w:val="0"/>
          <w:bCs w:val="0"/>
          <w:color w:val="auto"/>
          <w:sz w:val="24"/>
          <w:szCs w:val="24"/>
          <w:highlight w:val="none"/>
        </w:rPr>
        <w:t>观察组</w:t>
      </w:r>
      <w:r>
        <w:rPr>
          <w:rFonts w:hint="eastAsia" w:ascii="宋体" w:hAnsi="宋体" w:eastAsia="宋体" w:cs="宋体"/>
          <w:b w:val="0"/>
          <w:bCs w:val="0"/>
          <w:color w:val="auto"/>
          <w:sz w:val="24"/>
          <w:szCs w:val="24"/>
          <w:highlight w:val="none"/>
          <w:lang w:eastAsia="zh-CN"/>
        </w:rPr>
        <w:t>，各</w:t>
      </w:r>
      <w:r>
        <w:rPr>
          <w:rFonts w:hint="eastAsia" w:ascii="宋体" w:hAnsi="宋体" w:eastAsia="宋体" w:cs="宋体"/>
          <w:b w:val="0"/>
          <w:bCs w:val="0"/>
          <w:color w:val="auto"/>
          <w:sz w:val="24"/>
          <w:szCs w:val="24"/>
          <w:highlight w:val="none"/>
        </w:rPr>
        <w:t>20例</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对照组采用甘露醇静脉输注治疗，观察组采用甘露醇静脉输注联合高压氧治疗</w:t>
      </w:r>
      <w:r>
        <w:rPr>
          <w:rFonts w:hint="eastAsia" w:ascii="宋体" w:hAnsi="宋体" w:eastAsia="宋体" w:cs="宋体"/>
          <w:b w:val="0"/>
          <w:bCs w:val="0"/>
          <w:color w:val="auto"/>
          <w:sz w:val="24"/>
          <w:szCs w:val="24"/>
          <w:highlight w:val="none"/>
          <w:lang w:eastAsia="zh-CN"/>
        </w:rPr>
        <w:t>。比较两组临床疗效，</w:t>
      </w:r>
      <w:r>
        <w:rPr>
          <w:rFonts w:hint="eastAsia" w:ascii="宋体" w:hAnsi="宋体" w:eastAsia="宋体" w:cs="宋体"/>
          <w:color w:val="auto"/>
          <w:sz w:val="24"/>
          <w:szCs w:val="24"/>
          <w:highlight w:val="none"/>
        </w:rPr>
        <w:t>治疗后1个月神经功能</w:t>
      </w:r>
      <w:r>
        <w:rPr>
          <w:rFonts w:hint="eastAsia" w:ascii="宋体" w:hAnsi="宋体" w:eastAsia="宋体" w:cs="宋体"/>
          <w:color w:val="auto"/>
          <w:sz w:val="24"/>
          <w:szCs w:val="24"/>
          <w:highlight w:val="none"/>
          <w:lang w:val="en-US" w:eastAsia="zh-CN"/>
        </w:rPr>
        <w:t>[</w:t>
      </w:r>
      <w:r>
        <w:rPr>
          <w:rFonts w:hint="eastAsia" w:ascii="宋体" w:hAnsi="宋体" w:eastAsia="宋体" w:cs="宋体"/>
          <w:b w:val="0"/>
          <w:bCs w:val="0"/>
          <w:color w:val="auto"/>
          <w:sz w:val="24"/>
          <w:szCs w:val="24"/>
          <w:highlight w:val="none"/>
        </w:rPr>
        <w:t>美国国立卫生研究院卒中量表（NIHSS）判定</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昏迷程度</w:t>
      </w:r>
      <w:r>
        <w:rPr>
          <w:rFonts w:hint="eastAsia" w:ascii="宋体" w:hAnsi="宋体" w:eastAsia="宋体" w:cs="宋体"/>
          <w:color w:val="auto"/>
          <w:sz w:val="24"/>
          <w:szCs w:val="24"/>
          <w:highlight w:val="none"/>
          <w:lang w:val="en-US" w:eastAsia="zh-CN"/>
        </w:rPr>
        <w:t>[</w:t>
      </w:r>
      <w:r>
        <w:rPr>
          <w:rFonts w:hint="eastAsia" w:ascii="宋体" w:hAnsi="宋体" w:eastAsia="宋体" w:cs="宋体"/>
          <w:b w:val="0"/>
          <w:bCs w:val="0"/>
          <w:color w:val="auto"/>
          <w:sz w:val="24"/>
          <w:szCs w:val="24"/>
          <w:highlight w:val="none"/>
        </w:rPr>
        <w:t>格拉斯哥昏迷量表（GCS）判定</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恢复程度</w:t>
      </w:r>
      <w:r>
        <w:rPr>
          <w:rFonts w:hint="eastAsia" w:ascii="宋体" w:hAnsi="宋体" w:eastAsia="宋体" w:cs="宋体"/>
          <w:color w:val="auto"/>
          <w:sz w:val="24"/>
          <w:szCs w:val="24"/>
          <w:highlight w:val="none"/>
          <w:lang w:val="en-US" w:eastAsia="zh-CN"/>
        </w:rPr>
        <w:t>[</w:t>
      </w:r>
      <w:r>
        <w:rPr>
          <w:rFonts w:hint="eastAsia" w:ascii="宋体" w:hAnsi="宋体" w:eastAsia="宋体" w:cs="宋体"/>
          <w:b w:val="0"/>
          <w:bCs w:val="0"/>
          <w:color w:val="auto"/>
          <w:sz w:val="24"/>
          <w:szCs w:val="24"/>
          <w:highlight w:val="none"/>
        </w:rPr>
        <w:t>改良Rankin量表（mRS）判</w:t>
      </w:r>
      <w:r>
        <w:rPr>
          <w:rFonts w:hint="eastAsia" w:ascii="宋体" w:hAnsi="宋体" w:eastAsia="宋体" w:cs="宋体"/>
          <w:b w:val="0"/>
          <w:bCs w:val="0"/>
          <w:color w:val="auto"/>
          <w:sz w:val="24"/>
          <w:szCs w:val="24"/>
          <w:highlight w:val="none"/>
          <w:lang w:eastAsia="zh-CN"/>
        </w:rPr>
        <w:t>定</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eastAsia="zh-CN"/>
        </w:rPr>
        <w:t>评分，</w:t>
      </w:r>
      <w:r>
        <w:rPr>
          <w:rFonts w:hint="eastAsia" w:ascii="宋体" w:hAnsi="宋体" w:eastAsia="宋体" w:cs="宋体"/>
          <w:color w:val="auto"/>
          <w:sz w:val="24"/>
          <w:szCs w:val="24"/>
          <w:highlight w:val="none"/>
        </w:rPr>
        <w:t>治疗前1</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d</w:t>
      </w:r>
      <w:r>
        <w:rPr>
          <w:rFonts w:hint="eastAsia" w:ascii="宋体" w:hAnsi="宋体" w:eastAsia="宋体" w:cs="宋体"/>
          <w:color w:val="auto"/>
          <w:sz w:val="24"/>
          <w:szCs w:val="24"/>
          <w:highlight w:val="none"/>
          <w:lang w:eastAsia="zh-CN"/>
        </w:rPr>
        <w:t>和</w:t>
      </w:r>
      <w:r>
        <w:rPr>
          <w:rFonts w:hint="eastAsia" w:ascii="宋体" w:hAnsi="宋体" w:eastAsia="宋体" w:cs="宋体"/>
          <w:color w:val="auto"/>
          <w:sz w:val="24"/>
          <w:szCs w:val="24"/>
          <w:highlight w:val="none"/>
        </w:rPr>
        <w:t>治疗后1个月</w:t>
      </w:r>
      <w:r>
        <w:rPr>
          <w:rFonts w:hint="eastAsia" w:ascii="宋体" w:hAnsi="宋体" w:eastAsia="宋体" w:cs="宋体"/>
          <w:color w:val="auto"/>
          <w:sz w:val="24"/>
          <w:szCs w:val="24"/>
          <w:highlight w:val="none"/>
          <w:lang w:val="en-US" w:eastAsia="zh-CN"/>
        </w:rPr>
        <w:t>脑血肿、水肿</w:t>
      </w:r>
      <w:r>
        <w:rPr>
          <w:rFonts w:hint="eastAsia" w:ascii="宋体" w:hAnsi="宋体" w:eastAsia="宋体" w:cs="宋体"/>
          <w:b w:val="0"/>
          <w:bCs w:val="0"/>
          <w:color w:val="auto"/>
          <w:sz w:val="24"/>
          <w:szCs w:val="24"/>
          <w:highlight w:val="none"/>
        </w:rPr>
        <w:t>指标。结果</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观察组</w:t>
      </w:r>
      <w:r>
        <w:rPr>
          <w:rFonts w:hint="eastAsia" w:ascii="宋体" w:hAnsi="宋体" w:eastAsia="宋体" w:cs="宋体"/>
          <w:b w:val="0"/>
          <w:bCs w:val="0"/>
          <w:color w:val="auto"/>
          <w:sz w:val="24"/>
          <w:szCs w:val="24"/>
          <w:highlight w:val="none"/>
          <w:lang w:val="en-US" w:eastAsia="zh-CN"/>
        </w:rPr>
        <w:t>总有效率为</w:t>
      </w:r>
      <w:r>
        <w:rPr>
          <w:rFonts w:hint="eastAsia" w:ascii="宋体" w:hAnsi="宋体" w:eastAsia="宋体" w:cs="宋体"/>
          <w:b w:val="0"/>
          <w:bCs w:val="0"/>
          <w:color w:val="auto"/>
          <w:sz w:val="24"/>
          <w:szCs w:val="24"/>
          <w:highlight w:val="none"/>
        </w:rPr>
        <w:t>95.00%</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高于对照组的</w:t>
      </w:r>
      <w:r>
        <w:rPr>
          <w:rFonts w:hint="eastAsia" w:ascii="宋体" w:hAnsi="宋体" w:eastAsia="宋体" w:cs="宋体"/>
          <w:b w:val="0"/>
          <w:bCs w:val="0"/>
          <w:color w:val="auto"/>
          <w:sz w:val="24"/>
          <w:szCs w:val="24"/>
          <w:highlight w:val="none"/>
        </w:rPr>
        <w:t>65.00%（</w:t>
      </w:r>
      <w:r>
        <w:rPr>
          <w:rFonts w:ascii="Times New Roman" w:hAnsi="Times New Roman"/>
          <w:i/>
          <w:sz w:val="24"/>
        </w:rPr>
        <w:t>P</w:t>
      </w:r>
      <w:r>
        <w:rPr>
          <w:rFonts w:hint="eastAsia" w:ascii="Times New Roman" w:hAnsi="Times New Roman"/>
          <w:sz w:val="24"/>
        </w:rPr>
        <w:t>＜</w:t>
      </w:r>
      <w:r>
        <w:rPr>
          <w:rFonts w:ascii="Times New Roman" w:hAnsi="Times New Roman"/>
          <w:sz w:val="24"/>
        </w:rPr>
        <w:t>0.05</w:t>
      </w: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color w:val="auto"/>
          <w:sz w:val="24"/>
          <w:szCs w:val="24"/>
          <w:highlight w:val="none"/>
        </w:rPr>
        <w:t>治疗后1个月观察组NIHSS评分、mRS</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评分均低于对照组（</w:t>
      </w:r>
      <w:r>
        <w:rPr>
          <w:rFonts w:ascii="Times New Roman" w:hAnsi="Times New Roman"/>
          <w:i/>
          <w:sz w:val="24"/>
        </w:rPr>
        <w:t>P</w:t>
      </w:r>
      <w:r>
        <w:rPr>
          <w:rFonts w:hint="eastAsia" w:ascii="Times New Roman" w:hAnsi="Times New Roman"/>
          <w:sz w:val="24"/>
        </w:rPr>
        <w:t>＜</w:t>
      </w:r>
      <w:r>
        <w:rPr>
          <w:rFonts w:ascii="Times New Roman" w:hAnsi="Times New Roman"/>
          <w:sz w:val="24"/>
        </w:rPr>
        <w:t>0.05</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GCS评分</w:t>
      </w:r>
      <w:r>
        <w:rPr>
          <w:rFonts w:hint="eastAsia" w:ascii="宋体" w:hAnsi="宋体" w:eastAsia="宋体" w:cs="宋体"/>
          <w:color w:val="auto"/>
          <w:sz w:val="24"/>
          <w:szCs w:val="24"/>
          <w:highlight w:val="none"/>
          <w:lang w:val="en-US" w:eastAsia="zh-CN"/>
        </w:rPr>
        <w:t>高于对照组</w:t>
      </w:r>
      <w:r>
        <w:rPr>
          <w:rFonts w:hint="eastAsia" w:ascii="宋体" w:hAnsi="宋体" w:eastAsia="宋体" w:cs="宋体"/>
          <w:color w:val="auto"/>
          <w:sz w:val="24"/>
          <w:szCs w:val="24"/>
          <w:highlight w:val="none"/>
        </w:rPr>
        <w:t>（</w:t>
      </w:r>
      <w:r>
        <w:rPr>
          <w:rFonts w:ascii="Times New Roman" w:hAnsi="Times New Roman"/>
          <w:i/>
          <w:sz w:val="24"/>
        </w:rPr>
        <w:t>P</w:t>
      </w:r>
      <w:r>
        <w:rPr>
          <w:rFonts w:hint="eastAsia" w:ascii="Times New Roman" w:hAnsi="Times New Roman"/>
          <w:sz w:val="24"/>
        </w:rPr>
        <w:t>＜</w:t>
      </w:r>
      <w:r>
        <w:rPr>
          <w:rFonts w:ascii="Times New Roman" w:hAnsi="Times New Roman"/>
          <w:sz w:val="24"/>
        </w:rPr>
        <w:t>0.05</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治疗前1</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d和治疗后1个月两组脑血肿体积比较</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差异无统计学意义</w:t>
      </w:r>
      <w:r>
        <w:rPr>
          <w:rFonts w:ascii="Times New Roman" w:hAnsi="Times New Roman"/>
          <w:sz w:val="24"/>
        </w:rPr>
        <w:t>（</w:t>
      </w:r>
      <w:r>
        <w:rPr>
          <w:rFonts w:ascii="Times New Roman" w:hAnsi="Times New Roman"/>
          <w:i/>
          <w:sz w:val="24"/>
        </w:rPr>
        <w:t>P</w:t>
      </w:r>
      <w:r>
        <w:rPr>
          <w:rFonts w:ascii="Times New Roman" w:hAnsi="Times New Roman"/>
          <w:sz w:val="24"/>
        </w:rPr>
        <w:t>＞0.05）</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治疗前1</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d两组绝对脑水肿体积、相对脑水肿体积比较</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差异无统计学意义</w:t>
      </w:r>
      <w:r>
        <w:rPr>
          <w:rFonts w:ascii="Times New Roman" w:hAnsi="Times New Roman"/>
          <w:sz w:val="24"/>
        </w:rPr>
        <w:t>（</w:t>
      </w:r>
      <w:r>
        <w:rPr>
          <w:rFonts w:ascii="Times New Roman" w:hAnsi="Times New Roman"/>
          <w:i/>
          <w:sz w:val="24"/>
        </w:rPr>
        <w:t>P</w:t>
      </w:r>
      <w:r>
        <w:rPr>
          <w:rFonts w:ascii="Times New Roman" w:hAnsi="Times New Roman"/>
          <w:sz w:val="24"/>
        </w:rPr>
        <w:t>＞0.05）</w:t>
      </w:r>
      <w:r>
        <w:rPr>
          <w:rFonts w:hint="eastAsia" w:ascii="宋体" w:hAnsi="宋体" w:eastAsia="宋体" w:cs="宋体"/>
          <w:color w:val="auto"/>
          <w:sz w:val="24"/>
          <w:szCs w:val="24"/>
          <w:highlight w:val="none"/>
        </w:rPr>
        <w:t>；治疗后1个月观察组绝对脑水肿体积、相对脑水肿体积均低于对照组（</w:t>
      </w:r>
      <w:r>
        <w:rPr>
          <w:rFonts w:ascii="Times New Roman" w:hAnsi="Times New Roman"/>
          <w:i/>
          <w:sz w:val="24"/>
        </w:rPr>
        <w:t>P</w:t>
      </w:r>
      <w:r>
        <w:rPr>
          <w:rFonts w:hint="eastAsia" w:ascii="Times New Roman" w:hAnsi="Times New Roman"/>
          <w:sz w:val="24"/>
        </w:rPr>
        <w:t>＜</w:t>
      </w:r>
      <w:r>
        <w:rPr>
          <w:rFonts w:ascii="Times New Roman" w:hAnsi="Times New Roman"/>
          <w:sz w:val="24"/>
        </w:rPr>
        <w:t>0.05</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sz w:val="24"/>
          <w:szCs w:val="24"/>
          <w:highlight w:val="none"/>
        </w:rPr>
        <w:t>结论</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color w:val="auto"/>
          <w:sz w:val="24"/>
          <w:szCs w:val="24"/>
          <w:highlight w:val="none"/>
        </w:rPr>
        <w:t>甘露醇联合高压氧治疗脑水肿，不仅可减轻水肿程度，也保护神经细胞，促进患者神经功能改善</w:t>
      </w:r>
      <w:r>
        <w:rPr>
          <w:rFonts w:hint="eastAsia" w:ascii="宋体" w:hAnsi="宋体" w:eastAsia="宋体" w:cs="宋体"/>
          <w:color w:val="auto"/>
          <w:sz w:val="24"/>
          <w:szCs w:val="24"/>
          <w:highlight w:val="none"/>
          <w:lang w:eastAsia="zh-CN"/>
        </w:rPr>
        <w:t>。</w:t>
      </w:r>
    </w:p>
    <w:p>
      <w:pPr>
        <w:spacing w:line="360" w:lineRule="auto"/>
        <w:ind w:firstLine="481"/>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rPr>
        <w:t>关键词</w:t>
      </w:r>
      <w:r>
        <w:rPr>
          <w:rFonts w:hint="eastAsia" w:ascii="宋体" w:hAnsi="宋体" w:eastAsia="宋体" w:cs="宋体"/>
          <w:b/>
          <w:bCs/>
          <w:color w:val="auto"/>
          <w:sz w:val="24"/>
          <w:szCs w:val="24"/>
          <w:highlight w:val="none"/>
          <w:lang w:eastAsia="zh-CN"/>
        </w:rPr>
        <w:t>：</w:t>
      </w:r>
      <w:r>
        <w:rPr>
          <w:rFonts w:hint="eastAsia" w:ascii="宋体" w:hAnsi="宋体" w:eastAsia="宋体" w:cs="宋体"/>
          <w:color w:val="auto"/>
          <w:sz w:val="24"/>
          <w:szCs w:val="24"/>
          <w:highlight w:val="none"/>
        </w:rPr>
        <w:t>脑水肿；脑出血；脑梗死；甘露醇</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高压氧</w:t>
      </w:r>
    </w:p>
    <w:p>
      <w:pPr>
        <w:spacing w:line="360" w:lineRule="auto"/>
        <w:ind w:firstLine="481"/>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 w:eastAsia="zh-CN"/>
        </w:rPr>
        <w:t>中图分类号：</w:t>
      </w:r>
      <w:r>
        <w:rPr>
          <w:rFonts w:hint="eastAsia" w:ascii="宋体" w:hAnsi="宋体" w:eastAsia="宋体" w:cs="宋体"/>
          <w:b/>
          <w:bCs/>
          <w:color w:val="auto"/>
          <w:sz w:val="24"/>
          <w:szCs w:val="24"/>
          <w:highlight w:val="none"/>
          <w:lang w:val="en-US" w:eastAsia="zh-CN"/>
        </w:rPr>
        <w:t>R</w:t>
      </w:r>
      <w:r>
        <w:rPr>
          <w:rFonts w:hint="eastAsia" w:ascii="宋体" w:hAnsi="宋体" w:eastAsia="宋体" w:cs="宋体"/>
          <w:b w:val="0"/>
          <w:bCs w:val="0"/>
          <w:color w:val="auto"/>
          <w:sz w:val="24"/>
          <w:szCs w:val="24"/>
          <w:highlight w:val="none"/>
          <w:lang w:val="en-US" w:eastAsia="zh-CN"/>
        </w:rPr>
        <w:t xml:space="preserve">742.7    </w:t>
      </w:r>
      <w:r>
        <w:rPr>
          <w:rFonts w:hint="eastAsia" w:ascii="宋体" w:hAnsi="宋体" w:eastAsia="宋体" w:cs="宋体"/>
          <w:b/>
          <w:bCs/>
          <w:color w:val="auto"/>
          <w:sz w:val="24"/>
          <w:szCs w:val="24"/>
          <w:highlight w:val="none"/>
          <w:lang w:val="en" w:eastAsia="zh-CN"/>
        </w:rPr>
        <w:t>文献标识：</w:t>
      </w:r>
      <w:r>
        <w:rPr>
          <w:rFonts w:hint="eastAsia" w:ascii="宋体" w:hAnsi="宋体" w:eastAsia="宋体" w:cs="宋体"/>
          <w:b/>
          <w:bCs/>
          <w:color w:val="auto"/>
          <w:sz w:val="24"/>
          <w:szCs w:val="24"/>
          <w:highlight w:val="none"/>
          <w:lang w:val="en-US" w:eastAsia="zh-CN"/>
        </w:rPr>
        <w:t>B</w:t>
      </w:r>
    </w:p>
    <w:p>
      <w:pPr>
        <w:spacing w:line="360" w:lineRule="auto"/>
        <w:ind w:firstLine="420"/>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脑卒中是临床常见脑血管疾病，导致脑组织缺血缺氧发生</w:t>
      </w:r>
      <w:r>
        <w:rPr>
          <w:rFonts w:ascii="Times New Roman" w:hAnsi="Times New Roman"/>
          <w:sz w:val="24"/>
          <w:vertAlign w:val="superscript"/>
        </w:rPr>
        <w:t>[</w:t>
      </w:r>
      <w:r>
        <w:rPr>
          <w:rFonts w:hint="eastAsia" w:ascii="Times New Roman" w:hAnsi="Times New Roman"/>
          <w:sz w:val="24"/>
          <w:vertAlign w:val="superscript"/>
          <w:lang w:val="en-US" w:eastAsia="zh-CN"/>
        </w:rPr>
        <w:t>1</w:t>
      </w:r>
      <w:r>
        <w:rPr>
          <w:rFonts w:ascii="Times New Roman" w:hAnsi="Times New Roman"/>
          <w:sz w:val="24"/>
          <w:vertAlign w:val="superscript"/>
        </w:rPr>
        <w:t>]</w:t>
      </w:r>
      <w:r>
        <w:rPr>
          <w:rFonts w:hint="eastAsia" w:ascii="宋体" w:hAnsi="宋体" w:eastAsia="宋体" w:cs="宋体"/>
          <w:color w:val="auto"/>
          <w:sz w:val="24"/>
          <w:szCs w:val="24"/>
          <w:highlight w:val="none"/>
        </w:rPr>
        <w:t>，并伴随神经功能损伤、致残致死</w:t>
      </w:r>
      <w:r>
        <w:rPr>
          <w:rFonts w:ascii="Times New Roman" w:hAnsi="Times New Roman"/>
          <w:sz w:val="24"/>
          <w:vertAlign w:val="superscript"/>
        </w:rPr>
        <w:t>[</w:t>
      </w:r>
      <w:r>
        <w:rPr>
          <w:rFonts w:hint="eastAsia" w:ascii="Times New Roman" w:hAnsi="Times New Roman"/>
          <w:sz w:val="24"/>
          <w:vertAlign w:val="superscript"/>
          <w:lang w:val="en-US" w:eastAsia="zh-CN"/>
        </w:rPr>
        <w:t>2</w:t>
      </w:r>
      <w:r>
        <w:rPr>
          <w:rFonts w:ascii="Times New Roman" w:hAnsi="Times New Roman"/>
          <w:sz w:val="24"/>
          <w:vertAlign w:val="superscript"/>
        </w:rPr>
        <w:t>]</w:t>
      </w:r>
      <w:r>
        <w:rPr>
          <w:rFonts w:hint="eastAsia" w:ascii="宋体" w:hAnsi="宋体" w:eastAsia="宋体" w:cs="宋体"/>
          <w:color w:val="auto"/>
          <w:sz w:val="24"/>
          <w:szCs w:val="24"/>
          <w:highlight w:val="none"/>
        </w:rPr>
        <w:t>。我国疾病死亡原因中脑血管疾病位居首位</w:t>
      </w:r>
      <w:r>
        <w:rPr>
          <w:rFonts w:ascii="Times New Roman" w:hAnsi="Times New Roman"/>
          <w:sz w:val="24"/>
          <w:vertAlign w:val="superscript"/>
        </w:rPr>
        <w:t>[</w:t>
      </w:r>
      <w:r>
        <w:rPr>
          <w:rFonts w:hint="eastAsia" w:ascii="Times New Roman" w:hAnsi="Times New Roman"/>
          <w:sz w:val="24"/>
          <w:vertAlign w:val="superscript"/>
          <w:lang w:val="en-US" w:eastAsia="zh-CN"/>
        </w:rPr>
        <w:t>3</w:t>
      </w:r>
      <w:r>
        <w:rPr>
          <w:rFonts w:hint="eastAsia" w:ascii="Times New Roman" w:hAnsi="Times New Roman"/>
          <w:sz w:val="24"/>
          <w:vertAlign w:val="superscript"/>
        </w:rPr>
        <w:t>~</w:t>
      </w:r>
      <w:r>
        <w:rPr>
          <w:rFonts w:hint="eastAsia" w:ascii="Times New Roman" w:hAnsi="Times New Roman"/>
          <w:sz w:val="24"/>
          <w:vertAlign w:val="superscript"/>
          <w:lang w:val="en-US" w:eastAsia="zh-CN"/>
        </w:rPr>
        <w:t>5</w:t>
      </w:r>
      <w:r>
        <w:rPr>
          <w:rFonts w:ascii="Times New Roman" w:hAnsi="Times New Roman"/>
          <w:sz w:val="24"/>
          <w:vertAlign w:val="superscript"/>
        </w:rPr>
        <w:t>]</w:t>
      </w:r>
      <w:r>
        <w:rPr>
          <w:rFonts w:hint="eastAsia" w:ascii="宋体" w:hAnsi="宋体" w:eastAsia="宋体" w:cs="宋体"/>
          <w:color w:val="auto"/>
          <w:sz w:val="24"/>
          <w:szCs w:val="24"/>
          <w:highlight w:val="none"/>
        </w:rPr>
        <w:t>。脑卒中继发脑水肿引起颅内压升高，加重损伤神经细胞的死亡。因此，控制脑水肿，促进神经功能恢复，减轻功能神经缺损意义重大。甘露醇是临床常用降颅内压药物之一，经静脉输注后可于短时间内起效，促进脑组织脱水，减轻脑水肿，降低颅内压</w:t>
      </w:r>
      <w:r>
        <w:rPr>
          <w:rFonts w:ascii="Times New Roman" w:hAnsi="Times New Roman"/>
          <w:sz w:val="24"/>
          <w:vertAlign w:val="superscript"/>
        </w:rPr>
        <w:t>[</w:t>
      </w:r>
      <w:r>
        <w:rPr>
          <w:rFonts w:hint="eastAsia" w:ascii="Times New Roman" w:hAnsi="Times New Roman"/>
          <w:sz w:val="24"/>
          <w:vertAlign w:val="superscript"/>
          <w:lang w:val="en-US" w:eastAsia="zh-CN"/>
        </w:rPr>
        <w:t>6</w:t>
      </w:r>
      <w:r>
        <w:rPr>
          <w:rFonts w:ascii="Times New Roman" w:hAnsi="Times New Roman"/>
          <w:sz w:val="24"/>
          <w:vertAlign w:val="superscript"/>
        </w:rPr>
        <w:t>]</w:t>
      </w:r>
      <w:r>
        <w:rPr>
          <w:rFonts w:hint="eastAsia" w:ascii="宋体" w:hAnsi="宋体" w:eastAsia="宋体" w:cs="宋体"/>
          <w:color w:val="auto"/>
          <w:sz w:val="24"/>
          <w:szCs w:val="24"/>
          <w:highlight w:val="none"/>
        </w:rPr>
        <w:t>。但临床甘露醇长期大剂量用药不良反应较多。近年研究发现，高压氧作为脑血管疾病治疗手段之一，能促进神经功能恢复。但目前临床对于脑水肿应用甘露醇与高压氧联合治疗的研究较少，尚需明确其联合治疗效果。本</w:t>
      </w:r>
      <w:r>
        <w:rPr>
          <w:rFonts w:hint="eastAsia" w:ascii="宋体" w:hAnsi="宋体" w:eastAsia="宋体" w:cs="宋体"/>
          <w:color w:val="auto"/>
          <w:sz w:val="24"/>
          <w:szCs w:val="24"/>
          <w:highlight w:val="none"/>
          <w:lang w:eastAsia="zh-CN"/>
        </w:rPr>
        <w:t>研究</w:t>
      </w:r>
      <w:r>
        <w:rPr>
          <w:rFonts w:hint="eastAsia" w:ascii="宋体" w:hAnsi="宋体" w:eastAsia="宋体" w:cs="宋体"/>
          <w:color w:val="auto"/>
          <w:sz w:val="24"/>
          <w:szCs w:val="24"/>
          <w:highlight w:val="none"/>
        </w:rPr>
        <w:t>探讨甘露醇联合高压氧治疗脑出血/脑梗死继发脑水肿</w:t>
      </w:r>
      <w:r>
        <w:rPr>
          <w:rFonts w:hint="eastAsia" w:ascii="宋体" w:hAnsi="宋体" w:eastAsia="宋体" w:cs="宋体"/>
          <w:color w:val="auto"/>
          <w:sz w:val="24"/>
          <w:szCs w:val="24"/>
          <w:highlight w:val="none"/>
          <w:lang w:eastAsia="zh-CN"/>
        </w:rPr>
        <w:t>的临床</w:t>
      </w:r>
      <w:r>
        <w:rPr>
          <w:rFonts w:hint="eastAsia" w:ascii="宋体" w:hAnsi="宋体" w:eastAsia="宋体" w:cs="宋体"/>
          <w:color w:val="auto"/>
          <w:sz w:val="24"/>
          <w:szCs w:val="24"/>
          <w:highlight w:val="none"/>
        </w:rPr>
        <w:t>疗效</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现报道如下。</w:t>
      </w:r>
    </w:p>
    <w:p>
      <w:pPr>
        <w:spacing w:line="360" w:lineRule="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rPr>
        <w:t>1</w:t>
      </w:r>
      <w:r>
        <w:rPr>
          <w:rFonts w:hint="eastAsia" w:ascii="宋体" w:hAnsi="宋体" w:eastAsia="宋体" w:cs="宋体"/>
          <w:b/>
          <w:bCs/>
          <w:color w:val="auto"/>
          <w:sz w:val="24"/>
          <w:szCs w:val="24"/>
          <w:highlight w:val="none"/>
          <w:lang w:val="en-US" w:eastAsia="zh-CN"/>
        </w:rPr>
        <w:t xml:space="preserve">    </w:t>
      </w:r>
      <w:r>
        <w:rPr>
          <w:rFonts w:hint="eastAsia" w:ascii="宋体" w:hAnsi="宋体" w:eastAsia="宋体" w:cs="宋体"/>
          <w:b/>
          <w:bCs/>
          <w:color w:val="auto"/>
          <w:sz w:val="24"/>
          <w:szCs w:val="24"/>
          <w:highlight w:val="none"/>
        </w:rPr>
        <w:t>资料与方法</w:t>
      </w:r>
    </w:p>
    <w:p>
      <w:pPr>
        <w:numPr>
          <w:ilvl w:val="1"/>
          <w:numId w:val="1"/>
        </w:num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一般资料</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选取江西省兴国县中医院于2020年2月</w:t>
      </w:r>
      <w:r>
        <w:rPr>
          <w:rFonts w:hint="eastAsia" w:ascii="宋体" w:hAnsi="宋体" w:eastAsia="宋体" w:cs="宋体"/>
          <w:color w:val="auto"/>
          <w:sz w:val="24"/>
          <w:szCs w:val="24"/>
          <w:highlight w:val="none"/>
          <w:lang w:eastAsia="zh-CN"/>
        </w:rPr>
        <w:t>至</w:t>
      </w:r>
      <w:r>
        <w:rPr>
          <w:rFonts w:hint="eastAsia" w:ascii="宋体" w:hAnsi="宋体" w:eastAsia="宋体" w:cs="宋体"/>
          <w:color w:val="auto"/>
          <w:sz w:val="24"/>
          <w:szCs w:val="24"/>
          <w:highlight w:val="none"/>
        </w:rPr>
        <w:t>2022年2月收治的脑出血/脑梗死继发脑水肿患者40例，按治疗方案不同</w:t>
      </w:r>
      <w:r>
        <w:rPr>
          <w:rFonts w:hint="eastAsia" w:ascii="宋体" w:hAnsi="宋体" w:eastAsia="宋体" w:cs="宋体"/>
          <w:color w:val="auto"/>
          <w:sz w:val="24"/>
          <w:szCs w:val="24"/>
          <w:highlight w:val="none"/>
          <w:lang w:eastAsia="zh-CN"/>
        </w:rPr>
        <w:t>分</w:t>
      </w:r>
      <w:r>
        <w:rPr>
          <w:rFonts w:hint="eastAsia" w:ascii="宋体" w:hAnsi="宋体" w:eastAsia="宋体" w:cs="宋体"/>
          <w:b w:val="0"/>
          <w:bCs w:val="0"/>
          <w:color w:val="auto"/>
          <w:sz w:val="24"/>
          <w:szCs w:val="24"/>
          <w:highlight w:val="none"/>
        </w:rPr>
        <w:t>为对照组</w:t>
      </w:r>
      <w:r>
        <w:rPr>
          <w:rFonts w:hint="eastAsia" w:ascii="宋体" w:hAnsi="宋体" w:eastAsia="宋体" w:cs="宋体"/>
          <w:b w:val="0"/>
          <w:bCs w:val="0"/>
          <w:color w:val="auto"/>
          <w:sz w:val="24"/>
          <w:szCs w:val="24"/>
          <w:highlight w:val="none"/>
          <w:lang w:eastAsia="zh-CN"/>
        </w:rPr>
        <w:t>与</w:t>
      </w:r>
      <w:r>
        <w:rPr>
          <w:rFonts w:hint="eastAsia" w:ascii="宋体" w:hAnsi="宋体" w:eastAsia="宋体" w:cs="宋体"/>
          <w:b w:val="0"/>
          <w:bCs w:val="0"/>
          <w:color w:val="auto"/>
          <w:sz w:val="24"/>
          <w:szCs w:val="24"/>
          <w:highlight w:val="none"/>
        </w:rPr>
        <w:t>观察组</w:t>
      </w:r>
      <w:r>
        <w:rPr>
          <w:rFonts w:hint="eastAsia" w:ascii="宋体" w:hAnsi="宋体" w:eastAsia="宋体" w:cs="宋体"/>
          <w:b w:val="0"/>
          <w:bCs w:val="0"/>
          <w:color w:val="auto"/>
          <w:sz w:val="24"/>
          <w:szCs w:val="24"/>
          <w:highlight w:val="none"/>
          <w:lang w:eastAsia="zh-CN"/>
        </w:rPr>
        <w:t>，各</w:t>
      </w:r>
      <w:r>
        <w:rPr>
          <w:rFonts w:hint="eastAsia" w:ascii="宋体" w:hAnsi="宋体" w:eastAsia="宋体" w:cs="宋体"/>
          <w:b w:val="0"/>
          <w:bCs w:val="0"/>
          <w:color w:val="auto"/>
          <w:sz w:val="24"/>
          <w:szCs w:val="24"/>
          <w:highlight w:val="none"/>
        </w:rPr>
        <w:t>20例</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color w:val="auto"/>
          <w:sz w:val="24"/>
          <w:szCs w:val="24"/>
          <w:highlight w:val="none"/>
        </w:rPr>
        <w:t>对照组男11例、女9例</w:t>
      </w:r>
      <w:r>
        <w:rPr>
          <w:rFonts w:hint="eastAsia" w:ascii="宋体" w:hAnsi="宋体" w:eastAsia="宋体" w:cs="宋体"/>
          <w:color w:val="auto"/>
          <w:sz w:val="24"/>
          <w:szCs w:val="24"/>
          <w:highlight w:val="none"/>
          <w:lang w:eastAsia="zh-CN"/>
        </w:rPr>
        <w:t>；年龄</w:t>
      </w:r>
      <w:r>
        <w:rPr>
          <w:rFonts w:hint="eastAsia" w:ascii="宋体" w:hAnsi="宋体" w:eastAsia="宋体" w:cs="宋体"/>
          <w:color w:val="auto"/>
          <w:sz w:val="24"/>
          <w:szCs w:val="24"/>
          <w:highlight w:val="none"/>
        </w:rPr>
        <w:t>34</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81岁</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平均年龄（58.26±2.25）岁；观察组男12例、女8例</w:t>
      </w:r>
      <w:r>
        <w:rPr>
          <w:rFonts w:hint="eastAsia" w:ascii="宋体" w:hAnsi="宋体" w:eastAsia="宋体" w:cs="宋体"/>
          <w:color w:val="auto"/>
          <w:sz w:val="24"/>
          <w:szCs w:val="24"/>
          <w:highlight w:val="none"/>
          <w:lang w:eastAsia="zh-CN"/>
        </w:rPr>
        <w:t>；年龄</w:t>
      </w:r>
      <w:r>
        <w:rPr>
          <w:rFonts w:hint="eastAsia" w:ascii="宋体" w:hAnsi="宋体" w:eastAsia="宋体" w:cs="宋体"/>
          <w:color w:val="auto"/>
          <w:sz w:val="24"/>
          <w:szCs w:val="24"/>
          <w:highlight w:val="none"/>
        </w:rPr>
        <w:t>35</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82岁</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平均年龄</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58.39±2.18）岁。纳入标准：符合《中国脑出血诊治指南</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2014</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superscript"/>
          <w:lang w:val="en-US" w:eastAsia="zh-CN"/>
        </w:rPr>
        <w:t>[7]</w:t>
      </w:r>
      <w:r>
        <w:rPr>
          <w:rFonts w:hint="eastAsia" w:ascii="宋体" w:hAnsi="宋体" w:eastAsia="宋体" w:cs="宋体"/>
          <w:color w:val="auto"/>
          <w:sz w:val="24"/>
          <w:szCs w:val="24"/>
          <w:highlight w:val="none"/>
        </w:rPr>
        <w:t>中脑出血继发脑水肿诊断标准，或符合《中国脑梗死中西医结合诊治指南</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2017</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superscript"/>
          <w:lang w:val="en-US" w:eastAsia="zh-CN"/>
        </w:rPr>
        <w:t>[8]</w:t>
      </w:r>
      <w:r>
        <w:rPr>
          <w:rFonts w:hint="eastAsia" w:ascii="宋体" w:hAnsi="宋体" w:eastAsia="宋体" w:cs="宋体"/>
          <w:color w:val="auto"/>
          <w:sz w:val="24"/>
          <w:szCs w:val="24"/>
          <w:highlight w:val="none"/>
        </w:rPr>
        <w:t>中脑梗死继发脑水肿诊断标准，并经头颅CT、MRI等检查确诊；年龄＞18岁；均为首次发病；发病至入院时间</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12</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h；</w:t>
      </w:r>
      <w:r>
        <w:rPr>
          <w:rFonts w:hint="eastAsia" w:ascii="宋体" w:hAnsi="宋体" w:eastAsia="宋体" w:cs="宋体"/>
          <w:color w:val="auto"/>
          <w:sz w:val="24"/>
          <w:szCs w:val="24"/>
          <w:highlight w:val="none"/>
          <w:lang w:val="en-US" w:eastAsia="zh-CN"/>
        </w:rPr>
        <w:t>患者及家属对本研究知情同意；</w:t>
      </w:r>
      <w:r>
        <w:rPr>
          <w:rFonts w:hint="eastAsia" w:ascii="宋体" w:hAnsi="宋体" w:eastAsia="宋体" w:cs="宋体"/>
          <w:color w:val="auto"/>
          <w:sz w:val="24"/>
          <w:szCs w:val="24"/>
          <w:highlight w:val="none"/>
        </w:rPr>
        <w:t>患者影像学检查及病历等资料完整。</w:t>
      </w:r>
      <w:r>
        <w:rPr>
          <w:rFonts w:hint="eastAsia" w:ascii="宋体" w:hAnsi="宋体" w:eastAsia="宋体" w:cs="宋体"/>
          <w:color w:val="auto"/>
          <w:sz w:val="24"/>
          <w:szCs w:val="24"/>
          <w:highlight w:val="none"/>
          <w:lang w:val="en-US" w:eastAsia="zh-CN"/>
        </w:rPr>
        <w:t>排除标准：合并精神系统疾病、恶性肿瘤、心肝肾功能不全及血液系统疾病者；中途退出者；</w:t>
      </w:r>
      <w:r>
        <w:rPr>
          <w:rFonts w:hint="eastAsia" w:ascii="宋体" w:hAnsi="宋体" w:eastAsia="宋体" w:cs="宋体"/>
          <w:color w:val="auto"/>
          <w:sz w:val="24"/>
          <w:szCs w:val="24"/>
          <w:highlight w:val="none"/>
        </w:rPr>
        <w:t>既往有严重颅脑创伤史</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滥用药物史</w:t>
      </w:r>
      <w:r>
        <w:rPr>
          <w:rFonts w:hint="eastAsia" w:ascii="宋体" w:hAnsi="宋体" w:eastAsia="宋体" w:cs="宋体"/>
          <w:color w:val="auto"/>
          <w:sz w:val="24"/>
          <w:szCs w:val="24"/>
          <w:highlight w:val="none"/>
          <w:lang w:val="en-US" w:eastAsia="zh-CN"/>
        </w:rPr>
        <w:t>及</w:t>
      </w:r>
      <w:r>
        <w:rPr>
          <w:rFonts w:hint="eastAsia" w:ascii="宋体" w:hAnsi="宋体" w:eastAsia="宋体" w:cs="宋体"/>
          <w:color w:val="auto"/>
          <w:sz w:val="24"/>
          <w:szCs w:val="24"/>
          <w:highlight w:val="none"/>
        </w:rPr>
        <w:t>脑血管疾病史者；对本研究药物过敏者；存在高压氧治疗禁忌证者；多灶出血者；出血性脑梗死者。两组</w:t>
      </w:r>
      <w:r>
        <w:rPr>
          <w:rFonts w:hint="eastAsia" w:ascii="宋体" w:hAnsi="宋体" w:eastAsia="宋体" w:cs="宋体"/>
          <w:color w:val="auto"/>
          <w:sz w:val="24"/>
          <w:szCs w:val="24"/>
          <w:highlight w:val="none"/>
          <w:lang w:eastAsia="zh-CN"/>
        </w:rPr>
        <w:t>一般</w:t>
      </w:r>
      <w:r>
        <w:rPr>
          <w:rFonts w:hint="eastAsia" w:ascii="宋体" w:hAnsi="宋体" w:eastAsia="宋体" w:cs="宋体"/>
          <w:color w:val="auto"/>
          <w:sz w:val="24"/>
          <w:szCs w:val="24"/>
          <w:highlight w:val="none"/>
        </w:rPr>
        <w:t>资料</w:t>
      </w:r>
      <w:r>
        <w:rPr>
          <w:rFonts w:hint="eastAsia" w:ascii="宋体" w:hAnsi="宋体" w:eastAsia="宋体" w:cs="宋体"/>
          <w:color w:val="auto"/>
          <w:sz w:val="24"/>
          <w:szCs w:val="24"/>
          <w:highlight w:val="none"/>
          <w:lang w:eastAsia="zh-CN"/>
        </w:rPr>
        <w:t>对比</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差异无统计学意义</w:t>
      </w:r>
      <w:r>
        <w:rPr>
          <w:rFonts w:ascii="Times New Roman" w:hAnsi="Times New Roman"/>
          <w:sz w:val="24"/>
        </w:rPr>
        <w:t>（</w:t>
      </w:r>
      <w:r>
        <w:rPr>
          <w:rFonts w:ascii="Times New Roman" w:hAnsi="Times New Roman"/>
          <w:i/>
          <w:sz w:val="24"/>
        </w:rPr>
        <w:t>P</w:t>
      </w:r>
      <w:r>
        <w:rPr>
          <w:rFonts w:ascii="Times New Roman" w:hAnsi="Times New Roman"/>
          <w:sz w:val="24"/>
        </w:rPr>
        <w:t>＞0.05）</w:t>
      </w:r>
      <w:r>
        <w:rPr>
          <w:rFonts w:hint="eastAsia" w:ascii="宋体" w:hAnsi="宋体" w:eastAsia="宋体" w:cs="宋体"/>
          <w:color w:val="auto"/>
          <w:sz w:val="24"/>
          <w:szCs w:val="24"/>
          <w:highlight w:val="none"/>
          <w:lang w:eastAsia="zh-CN"/>
        </w:rPr>
        <w:t>，具有可比性</w:t>
      </w:r>
      <w:r>
        <w:rPr>
          <w:rFonts w:hint="eastAsia" w:ascii="宋体" w:hAnsi="宋体" w:eastAsia="宋体" w:cs="宋体"/>
          <w:color w:val="auto"/>
          <w:sz w:val="24"/>
          <w:szCs w:val="24"/>
          <w:highlight w:val="none"/>
        </w:rPr>
        <w:t>。</w:t>
      </w:r>
    </w:p>
    <w:p>
      <w:pPr>
        <w:numPr>
          <w:numId w:val="0"/>
        </w:numPr>
        <w:spacing w:line="360" w:lineRule="auto"/>
        <w:ind w:leftChars="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1.2</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eastAsia="zh-CN"/>
        </w:rPr>
        <w:t>治疗</w:t>
      </w:r>
      <w:r>
        <w:rPr>
          <w:rFonts w:hint="eastAsia" w:ascii="宋体" w:hAnsi="宋体" w:eastAsia="宋体" w:cs="宋体"/>
          <w:color w:val="auto"/>
          <w:sz w:val="24"/>
          <w:szCs w:val="24"/>
          <w:highlight w:val="none"/>
        </w:rPr>
        <w:t>方法</w:t>
      </w:r>
      <w:r>
        <w:rPr>
          <w:rFonts w:hint="eastAsia" w:ascii="宋体" w:hAnsi="宋体" w:eastAsia="宋体" w:cs="宋体"/>
          <w:color w:val="auto"/>
          <w:sz w:val="24"/>
          <w:szCs w:val="24"/>
          <w:highlight w:val="none"/>
          <w:lang w:val="en-US" w:eastAsia="zh-CN"/>
        </w:rPr>
        <w:t xml:space="preserve">    两组患者入院后均给予常规治疗包括调整血压、降糖、抗感染、维持水电解质平衡、降颅内压及体液补充等，参照</w:t>
      </w:r>
      <w:r>
        <w:rPr>
          <w:rFonts w:hint="eastAsia" w:ascii="宋体" w:hAnsi="宋体" w:eastAsia="宋体" w:cs="宋体"/>
          <w:color w:val="auto"/>
          <w:sz w:val="24"/>
          <w:szCs w:val="24"/>
          <w:highlight w:val="none"/>
        </w:rPr>
        <w:t>《中国脑出血诊治指南</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2014</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vertAlign w:val="superscript"/>
          <w:lang w:val="en-US" w:eastAsia="zh-CN"/>
        </w:rPr>
        <w:t>[7]</w:t>
      </w:r>
      <w:r>
        <w:rPr>
          <w:rFonts w:hint="eastAsia" w:ascii="宋体" w:hAnsi="宋体" w:eastAsia="宋体" w:cs="宋体"/>
          <w:color w:val="auto"/>
          <w:sz w:val="24"/>
          <w:szCs w:val="24"/>
          <w:highlight w:val="none"/>
          <w:lang w:val="en-US" w:eastAsia="zh-CN"/>
        </w:rPr>
        <w:t>予以神经内镜下微创血肿清除术治疗，术后给予镇痛、营养神经、镇静及纠正水电解质紊乱等对症治疗，取脑苷肌肽注射液（国药准字H22025046）4</w:t>
      </w:r>
      <w:r>
        <w:rPr>
          <w:rFonts w:hint="eastAsia" w:ascii="Times New Roman" w:hAnsi="Times New Roman"/>
          <w:sz w:val="24"/>
          <w:vertAlign w:val="baseline"/>
        </w:rPr>
        <w:t>~</w:t>
      </w:r>
      <w:r>
        <w:rPr>
          <w:rFonts w:hint="eastAsia" w:ascii="宋体" w:hAnsi="宋体" w:eastAsia="宋体" w:cs="宋体"/>
          <w:color w:val="auto"/>
          <w:sz w:val="24"/>
          <w:szCs w:val="24"/>
          <w:highlight w:val="none"/>
          <w:lang w:val="en-US" w:eastAsia="zh-CN"/>
        </w:rPr>
        <w:t>8 ml加入5%葡萄糖注射液250 ml中静脉滴注，1次/d，连续治疗2周。对照组在此基础上给予甘露醇注射液（国药准字H20033747，规格：100 ml:20 g/瓶）0.25~1.0</w:t>
      </w:r>
      <w:r>
        <w:rPr>
          <w:rFonts w:hint="eastAsia" w:ascii="宋体" w:hAnsi="宋体" w:eastAsia="宋体" w:cs="宋体"/>
          <w:color w:val="auto"/>
          <w:sz w:val="24"/>
          <w:szCs w:val="24"/>
          <w:highlight w:val="none"/>
          <w:lang w:val="en-US" w:eastAsia="zh-CN"/>
        </w:rPr>
        <w:t xml:space="preserve"> g/kg，经外周或中心静脉导管在10~20</w:t>
      </w:r>
      <w:r>
        <w:rPr>
          <w:rFonts w:hint="eastAsia" w:ascii="宋体" w:hAnsi="宋体" w:eastAsia="宋体" w:cs="宋体"/>
          <w:color w:val="auto"/>
          <w:sz w:val="24"/>
          <w:szCs w:val="24"/>
          <w:highlight w:val="none"/>
          <w:lang w:val="en-US" w:eastAsia="zh-CN"/>
        </w:rPr>
        <w:t xml:space="preserve"> min内静脉滴注，1次</w:t>
      </w:r>
      <w:r>
        <w:rPr>
          <w:rFonts w:hint="eastAsia" w:ascii="宋体" w:hAnsi="宋体" w:eastAsia="宋体" w:cs="宋体"/>
          <w:color w:val="auto"/>
          <w:sz w:val="24"/>
          <w:szCs w:val="24"/>
          <w:highlight w:val="none"/>
          <w:lang w:val="en-US" w:eastAsia="zh-CN"/>
        </w:rPr>
        <w:t>/d。</w:t>
      </w:r>
      <w:r>
        <w:rPr>
          <w:rFonts w:hint="eastAsia" w:ascii="宋体" w:hAnsi="宋体" w:eastAsia="宋体" w:cs="宋体"/>
          <w:color w:val="auto"/>
          <w:sz w:val="24"/>
          <w:szCs w:val="24"/>
          <w:highlight w:val="none"/>
          <w:lang w:val="en-US" w:eastAsia="zh-CN"/>
        </w:rPr>
        <w:t>观察组在对照组基础上联合高压氧舱（TY08A-2100A型高压氧舱操纵台，烟台冰轮高压氧舱有限公司）</w:t>
      </w:r>
      <w:r>
        <w:rPr>
          <w:rFonts w:hint="eastAsia" w:ascii="宋体" w:hAnsi="宋体" w:eastAsia="宋体" w:cs="宋体"/>
          <w:color w:val="auto"/>
          <w:sz w:val="24"/>
          <w:szCs w:val="24"/>
          <w:highlight w:val="none"/>
          <w:lang w:val="en-US" w:eastAsia="zh-CN"/>
        </w:rPr>
        <w:t>治疗，压力设置为2.2 ATA，时</w:t>
      </w:r>
      <w:r>
        <w:rPr>
          <w:rFonts w:hint="eastAsia" w:ascii="宋体" w:hAnsi="宋体" w:eastAsia="宋体" w:cs="宋体"/>
          <w:color w:val="auto"/>
          <w:sz w:val="24"/>
          <w:szCs w:val="24"/>
          <w:highlight w:val="none"/>
        </w:rPr>
        <w:t>间＜2</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h，1次</w:t>
      </w:r>
      <w:r>
        <w:rPr>
          <w:rFonts w:hint="eastAsia" w:ascii="宋体" w:hAnsi="宋体" w:eastAsia="宋体" w:cs="宋体"/>
          <w:color w:val="auto"/>
          <w:sz w:val="24"/>
          <w:szCs w:val="24"/>
          <w:highlight w:val="none"/>
          <w:lang w:val="en-US" w:eastAsia="zh-CN"/>
        </w:rPr>
        <w:t>/d</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连续治疗1</w:t>
      </w:r>
      <w:r>
        <w:rPr>
          <w:rFonts w:hint="eastAsia" w:ascii="宋体" w:hAnsi="宋体" w:eastAsia="宋体" w:cs="宋体"/>
          <w:color w:val="auto"/>
          <w:sz w:val="24"/>
          <w:szCs w:val="24"/>
          <w:highlight w:val="none"/>
        </w:rPr>
        <w:t>0</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d。</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观察指标</w:t>
      </w:r>
    </w:p>
    <w:p>
      <w:pPr>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 xml:space="preserve">1.3.1    </w:t>
      </w:r>
      <w:r>
        <w:rPr>
          <w:rFonts w:hint="eastAsia" w:ascii="宋体" w:hAnsi="宋体" w:eastAsia="宋体" w:cs="宋体"/>
          <w:color w:val="auto"/>
          <w:sz w:val="24"/>
          <w:szCs w:val="24"/>
          <w:highlight w:val="none"/>
        </w:rPr>
        <w:t>治疗效果</w:t>
      </w:r>
      <w:r>
        <w:rPr>
          <w:rFonts w:hint="eastAsia" w:ascii="宋体" w:hAnsi="宋体" w:eastAsia="宋体" w:cs="宋体"/>
          <w:color w:val="auto"/>
          <w:sz w:val="24"/>
          <w:szCs w:val="24"/>
          <w:highlight w:val="none"/>
          <w:lang w:val="en-US" w:eastAsia="zh-CN"/>
        </w:rPr>
        <w:t xml:space="preserve">    参照</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中国脑出血诊治指南（2014）</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vertAlign w:val="superscript"/>
          <w:lang w:val="en-US" w:eastAsia="zh-CN"/>
        </w:rPr>
        <w:t>[7]</w:t>
      </w:r>
      <w:r>
        <w:rPr>
          <w:rFonts w:hint="eastAsia" w:ascii="宋体" w:hAnsi="宋体" w:eastAsia="宋体" w:cs="宋体"/>
          <w:color w:val="auto"/>
          <w:sz w:val="24"/>
          <w:szCs w:val="24"/>
          <w:highlight w:val="none"/>
          <w:lang w:val="en-US" w:eastAsia="zh-CN"/>
        </w:rPr>
        <w:t>及</w:t>
      </w:r>
      <w:r>
        <w:rPr>
          <w:rFonts w:hint="eastAsia" w:ascii="宋体" w:hAnsi="宋体" w:eastAsia="宋体" w:cs="宋体"/>
          <w:color w:val="auto"/>
          <w:sz w:val="24"/>
          <w:szCs w:val="24"/>
          <w:highlight w:val="none"/>
        </w:rPr>
        <w:t>《中国脑梗死中西医结合诊治指南（2017）》</w:t>
      </w:r>
      <w:r>
        <w:rPr>
          <w:rFonts w:hint="eastAsia" w:ascii="宋体" w:hAnsi="宋体" w:eastAsia="宋体" w:cs="宋体"/>
          <w:color w:val="auto"/>
          <w:sz w:val="24"/>
          <w:szCs w:val="24"/>
          <w:highlight w:val="none"/>
          <w:vertAlign w:val="superscript"/>
          <w:lang w:val="en-US" w:eastAsia="zh-CN"/>
        </w:rPr>
        <w:t>[8]</w:t>
      </w:r>
      <w:r>
        <w:rPr>
          <w:rFonts w:hint="eastAsia" w:ascii="宋体" w:hAnsi="宋体" w:eastAsia="宋体" w:cs="宋体"/>
          <w:color w:val="auto"/>
          <w:sz w:val="24"/>
          <w:szCs w:val="24"/>
          <w:highlight w:val="none"/>
          <w:lang w:val="en-US" w:eastAsia="zh-CN"/>
        </w:rPr>
        <w:t>中疗效标准</w:t>
      </w:r>
      <w:r>
        <w:rPr>
          <w:rFonts w:hint="eastAsia" w:ascii="宋体" w:hAnsi="宋体" w:eastAsia="宋体" w:cs="宋体"/>
          <w:color w:val="auto"/>
          <w:sz w:val="24"/>
          <w:szCs w:val="24"/>
          <w:highlight w:val="none"/>
        </w:rPr>
        <w:t>评估治疗14</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d后临床疗效</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显效：患者脑功能障碍明显缓解</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脑室挤压变形程度明显减轻</w:t>
      </w:r>
      <w:r>
        <w:rPr>
          <w:rFonts w:hint="eastAsia" w:ascii="宋体" w:hAnsi="宋体" w:eastAsia="宋体" w:cs="宋体"/>
          <w:color w:val="auto"/>
          <w:sz w:val="24"/>
          <w:szCs w:val="24"/>
          <w:highlight w:val="none"/>
        </w:rPr>
        <w:t>；有效：患者相应神经缺损症状有所缓解（语言、肌力、感觉）</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脑室挤压变形程度有所减轻</w:t>
      </w:r>
      <w:r>
        <w:rPr>
          <w:rFonts w:hint="eastAsia" w:ascii="宋体" w:hAnsi="宋体" w:eastAsia="宋体" w:cs="宋体"/>
          <w:color w:val="auto"/>
          <w:sz w:val="24"/>
          <w:szCs w:val="24"/>
          <w:highlight w:val="none"/>
        </w:rPr>
        <w:t>；无效：脑水肿症状加重、MRI显示脑水肿明显。总有效率=（显效例数+有效例数）/</w:t>
      </w:r>
      <w:r>
        <w:rPr>
          <w:rFonts w:hint="eastAsia" w:ascii="宋体" w:hAnsi="宋体" w:eastAsia="宋体" w:cs="宋体"/>
          <w:color w:val="auto"/>
          <w:sz w:val="24"/>
          <w:szCs w:val="24"/>
          <w:highlight w:val="none"/>
          <w:lang w:eastAsia="zh-CN"/>
        </w:rPr>
        <w:t>总例</w:t>
      </w:r>
      <w:r>
        <w:rPr>
          <w:rFonts w:hint="eastAsia" w:ascii="宋体" w:hAnsi="宋体" w:eastAsia="宋体" w:cs="宋体"/>
          <w:color w:val="auto"/>
          <w:sz w:val="24"/>
          <w:szCs w:val="24"/>
          <w:highlight w:val="none"/>
        </w:rPr>
        <w:t>数×100%。</w:t>
      </w:r>
    </w:p>
    <w:p>
      <w:pPr>
        <w:spacing w:line="360" w:lineRule="auto"/>
        <w:rPr>
          <w:rFonts w:hint="eastAsia" w:ascii="宋体" w:hAnsi="宋体" w:eastAsia="宋体" w:cs="宋体"/>
          <w:color w:val="auto"/>
          <w:sz w:val="24"/>
          <w:szCs w:val="24"/>
          <w:highlight w:val="none"/>
        </w:rPr>
      </w:pPr>
      <w:bookmarkStart w:id="0" w:name="_Hlk99450600"/>
      <w:r>
        <w:rPr>
          <w:rFonts w:hint="eastAsia" w:ascii="宋体" w:hAnsi="宋体" w:eastAsia="宋体" w:cs="宋体"/>
          <w:color w:val="auto"/>
          <w:sz w:val="24"/>
          <w:szCs w:val="24"/>
          <w:highlight w:val="none"/>
          <w:lang w:val="en-US" w:eastAsia="zh-CN"/>
        </w:rPr>
        <w:t xml:space="preserve">1.3.2    </w:t>
      </w:r>
      <w:r>
        <w:rPr>
          <w:rFonts w:hint="eastAsia" w:ascii="宋体" w:hAnsi="宋体" w:eastAsia="宋体" w:cs="宋体"/>
          <w:color w:val="auto"/>
          <w:sz w:val="24"/>
          <w:szCs w:val="24"/>
          <w:highlight w:val="none"/>
        </w:rPr>
        <w:t>神经功能</w:t>
      </w:r>
      <w:bookmarkEnd w:id="0"/>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参照</w:t>
      </w:r>
      <w:bookmarkStart w:id="1" w:name="_Hlk99450640"/>
      <w:r>
        <w:rPr>
          <w:rFonts w:hint="eastAsia" w:ascii="宋体" w:hAnsi="宋体" w:eastAsia="宋体" w:cs="宋体"/>
          <w:color w:val="auto"/>
          <w:sz w:val="24"/>
          <w:szCs w:val="24"/>
          <w:highlight w:val="none"/>
        </w:rPr>
        <w:t>美国国立卫生研究院卒中量表（NIHSS）</w:t>
      </w:r>
      <w:bookmarkEnd w:id="1"/>
      <w:r>
        <w:rPr>
          <w:rFonts w:hint="eastAsia" w:ascii="宋体" w:hAnsi="宋体" w:eastAsia="宋体" w:cs="宋体"/>
          <w:color w:val="auto"/>
          <w:sz w:val="24"/>
          <w:szCs w:val="24"/>
          <w:highlight w:val="none"/>
        </w:rPr>
        <w:t>于治疗前1</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d</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治疗后1个月评估神经功能，包括面瘫、意识、凝视、视野、上肢运动、下肢运动、肢体共济失调、构音障碍、感觉、语言及忽视11个维度，总分0-42分，评分与神经功能成反比。</w:t>
      </w:r>
    </w:p>
    <w:p>
      <w:pPr>
        <w:spacing w:line="360" w:lineRule="auto"/>
        <w:rPr>
          <w:rFonts w:hint="eastAsia" w:ascii="宋体" w:hAnsi="宋体" w:eastAsia="宋体" w:cs="宋体"/>
          <w:color w:val="auto"/>
          <w:sz w:val="24"/>
          <w:szCs w:val="24"/>
          <w:highlight w:val="none"/>
        </w:rPr>
      </w:pPr>
      <w:bookmarkStart w:id="2" w:name="_Hlk99450626"/>
      <w:r>
        <w:rPr>
          <w:rFonts w:hint="eastAsia" w:ascii="宋体" w:hAnsi="宋体" w:eastAsia="宋体" w:cs="宋体"/>
          <w:color w:val="auto"/>
          <w:sz w:val="24"/>
          <w:szCs w:val="24"/>
          <w:highlight w:val="none"/>
          <w:lang w:val="en-US" w:eastAsia="zh-CN"/>
        </w:rPr>
        <w:t xml:space="preserve">1.3.3    </w:t>
      </w:r>
      <w:r>
        <w:rPr>
          <w:rFonts w:hint="eastAsia" w:ascii="宋体" w:hAnsi="宋体" w:eastAsia="宋体" w:cs="宋体"/>
          <w:color w:val="auto"/>
          <w:sz w:val="24"/>
          <w:szCs w:val="24"/>
          <w:highlight w:val="none"/>
        </w:rPr>
        <w:t>昏迷程度</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参照格拉斯哥昏迷量表（GCS）于治疗前1</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d</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治疗后1个月</w:t>
      </w:r>
      <w:r>
        <w:rPr>
          <w:rFonts w:hint="eastAsia" w:ascii="宋体" w:hAnsi="宋体" w:eastAsia="宋体" w:cs="宋体"/>
          <w:color w:val="auto"/>
          <w:sz w:val="24"/>
          <w:szCs w:val="24"/>
          <w:highlight w:val="none"/>
          <w:lang w:val="en-US" w:eastAsia="zh-CN"/>
        </w:rPr>
        <w:t>评估昏迷程度，共计3个维度，总分15分，评分与昏迷程度</w:t>
      </w:r>
      <w:bookmarkEnd w:id="2"/>
      <w:r>
        <w:rPr>
          <w:rFonts w:hint="eastAsia" w:ascii="宋体" w:hAnsi="宋体" w:eastAsia="宋体" w:cs="宋体"/>
          <w:color w:val="auto"/>
          <w:sz w:val="24"/>
          <w:szCs w:val="24"/>
          <w:highlight w:val="none"/>
        </w:rPr>
        <w:t>成反比。</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1.3.4    </w:t>
      </w:r>
      <w:r>
        <w:rPr>
          <w:rFonts w:hint="eastAsia" w:ascii="宋体" w:hAnsi="宋体" w:eastAsia="宋体" w:cs="宋体"/>
          <w:color w:val="auto"/>
          <w:sz w:val="24"/>
          <w:szCs w:val="24"/>
          <w:highlight w:val="none"/>
        </w:rPr>
        <w:t>恢复程度</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参照改良Rankin量表（mRS）</w:t>
      </w:r>
      <w:r>
        <w:rPr>
          <w:rFonts w:hint="eastAsia" w:ascii="宋体" w:hAnsi="宋体" w:eastAsia="宋体" w:cs="宋体"/>
          <w:color w:val="auto"/>
          <w:sz w:val="24"/>
          <w:szCs w:val="24"/>
          <w:highlight w:val="none"/>
          <w:lang w:val="en-US" w:eastAsia="zh-CN"/>
        </w:rPr>
        <w:t>于</w:t>
      </w:r>
      <w:r>
        <w:rPr>
          <w:rFonts w:hint="eastAsia" w:ascii="宋体" w:hAnsi="宋体" w:eastAsia="宋体" w:cs="宋体"/>
          <w:color w:val="auto"/>
          <w:sz w:val="24"/>
          <w:szCs w:val="24"/>
          <w:highlight w:val="none"/>
        </w:rPr>
        <w:t>治疗前</w:t>
      </w:r>
      <w:r>
        <w:rPr>
          <w:rFonts w:hint="eastAsia" w:ascii="宋体" w:hAnsi="宋体" w:eastAsia="宋体" w:cs="宋体"/>
          <w:color w:val="auto"/>
          <w:sz w:val="24"/>
          <w:szCs w:val="24"/>
          <w:highlight w:val="none"/>
          <w:lang w:val="en-US" w:eastAsia="zh-CN"/>
        </w:rPr>
        <w:t>1 d、治疗后1个月评估恢复情况，</w:t>
      </w:r>
      <w:r>
        <w:rPr>
          <w:rFonts w:hint="eastAsia" w:ascii="宋体" w:hAnsi="宋体" w:eastAsia="宋体" w:cs="宋体"/>
          <w:color w:val="auto"/>
          <w:sz w:val="24"/>
          <w:szCs w:val="24"/>
          <w:highlight w:val="none"/>
        </w:rPr>
        <w:t>总分5分，评分与恢复程度成反比；无症状计0分，有症状但无明显残疾，可独立完成日常工作与生活计1分，轻度残疾但可独立处理个人事务，无法独立完成日常生活计2分，</w:t>
      </w:r>
      <w:r>
        <w:rPr>
          <w:rFonts w:hint="eastAsia" w:ascii="宋体" w:hAnsi="宋体" w:eastAsia="宋体" w:cs="宋体"/>
          <w:color w:val="auto"/>
          <w:sz w:val="24"/>
          <w:szCs w:val="24"/>
          <w:highlight w:val="none"/>
          <w:lang w:val="en-US" w:eastAsia="zh-CN"/>
        </w:rPr>
        <w:t>残疾程度为中度，日常生活需依靠他人帮助</w:t>
      </w:r>
      <w:r>
        <w:rPr>
          <w:rFonts w:hint="eastAsia" w:ascii="宋体" w:hAnsi="宋体" w:eastAsia="宋体" w:cs="宋体"/>
          <w:color w:val="auto"/>
          <w:sz w:val="24"/>
          <w:szCs w:val="24"/>
          <w:highlight w:val="none"/>
        </w:rPr>
        <w:t>计3分，</w:t>
      </w:r>
      <w:r>
        <w:rPr>
          <w:rFonts w:hint="eastAsia" w:ascii="宋体" w:hAnsi="宋体" w:eastAsia="宋体" w:cs="宋体"/>
          <w:color w:val="auto"/>
          <w:sz w:val="24"/>
          <w:szCs w:val="24"/>
          <w:highlight w:val="none"/>
          <w:lang w:val="en-US" w:eastAsia="zh-CN"/>
        </w:rPr>
        <w:t>残疾程度为重度，</w:t>
      </w:r>
      <w:r>
        <w:rPr>
          <w:rFonts w:hint="eastAsia" w:ascii="宋体" w:hAnsi="宋体" w:eastAsia="宋体" w:cs="宋体"/>
          <w:color w:val="auto"/>
          <w:sz w:val="24"/>
          <w:szCs w:val="24"/>
          <w:highlight w:val="none"/>
        </w:rPr>
        <w:t>需在他人协助下进行行走，并由他人照顾身体需要计4分，严重残疾、卧床不起，需他人照顾日常生活计5分。</w:t>
      </w:r>
    </w:p>
    <w:p>
      <w:pPr>
        <w:spacing w:line="360" w:lineRule="auto"/>
        <w:rPr>
          <w:rFonts w:hint="eastAsia" w:ascii="宋体" w:hAnsi="宋体" w:eastAsia="宋体" w:cs="宋体"/>
          <w:color w:val="0000FF"/>
          <w:sz w:val="24"/>
          <w:szCs w:val="24"/>
          <w:highlight w:val="none"/>
          <w:lang w:val="en-US" w:eastAsia="zh-CN"/>
        </w:rPr>
      </w:pPr>
      <w:r>
        <w:rPr>
          <w:rFonts w:hint="eastAsia" w:ascii="宋体" w:hAnsi="宋体" w:eastAsia="宋体" w:cs="宋体"/>
          <w:color w:val="auto"/>
          <w:sz w:val="24"/>
          <w:szCs w:val="24"/>
          <w:highlight w:val="none"/>
          <w:lang w:val="en-US" w:eastAsia="zh-CN"/>
        </w:rPr>
        <w:t>1.3.5    脑血肿、水肿情况    设备选用</w:t>
      </w:r>
      <w:r>
        <w:rPr>
          <w:rFonts w:hint="eastAsia" w:ascii="宋体" w:hAnsi="宋体" w:eastAsia="宋体" w:cs="宋体"/>
          <w:color w:val="auto"/>
          <w:sz w:val="24"/>
          <w:szCs w:val="24"/>
          <w:highlight w:val="none"/>
        </w:rPr>
        <w:t>1.5</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T超导磁共振成像系统，治疗前1</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d和治疗后1个月行头部MRI检查，于扫描所得图像上设定感兴趣区，测定脑血肿及水肿外缘体积，再对脑血肿及水肿绝对体积、脑血肿及水肿相对体积进行计算。</w:t>
      </w:r>
      <w:r>
        <w:rPr>
          <w:rFonts w:hint="eastAsia" w:ascii="宋体" w:hAnsi="宋体" w:eastAsia="宋体" w:cs="宋体"/>
          <w:color w:val="auto"/>
          <w:sz w:val="24"/>
          <w:szCs w:val="24"/>
          <w:highlight w:val="none"/>
          <w:lang w:val="en-US" w:eastAsia="zh-CN"/>
        </w:rPr>
        <w:t>脑水肿相对体积=脑水肿体积/脑血肿体积；脑水肿绝对体积=脑水肿外源体积-脑血肿体积。</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统计学分析</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eastAsia="zh-CN"/>
        </w:rPr>
        <w:t>采用</w:t>
      </w:r>
      <w:r>
        <w:rPr>
          <w:rFonts w:hint="eastAsia" w:ascii="宋体" w:hAnsi="宋体" w:eastAsia="宋体" w:cs="宋体"/>
          <w:color w:val="auto"/>
          <w:sz w:val="24"/>
          <w:szCs w:val="24"/>
          <w:highlight w:val="none"/>
        </w:rPr>
        <w:t>SPSS19.0</w:t>
      </w:r>
      <w:r>
        <w:rPr>
          <w:rFonts w:hint="eastAsia" w:ascii="宋体" w:hAnsi="宋体" w:eastAsia="宋体" w:cs="宋体"/>
          <w:color w:val="auto"/>
          <w:sz w:val="24"/>
          <w:szCs w:val="24"/>
          <w:highlight w:val="none"/>
          <w:lang w:eastAsia="zh-CN"/>
        </w:rPr>
        <w:t>统计学</w:t>
      </w:r>
      <w:r>
        <w:rPr>
          <w:rFonts w:hint="eastAsia" w:ascii="宋体" w:hAnsi="宋体" w:eastAsia="宋体" w:cs="宋体"/>
          <w:color w:val="auto"/>
          <w:sz w:val="24"/>
          <w:szCs w:val="24"/>
          <w:highlight w:val="none"/>
        </w:rPr>
        <w:t>软件分析研究数据</w:t>
      </w:r>
      <w:r>
        <w:rPr>
          <w:rFonts w:hint="eastAsia" w:ascii="宋体" w:hAnsi="宋体" w:eastAsia="宋体" w:cs="宋体"/>
          <w:color w:val="auto"/>
          <w:sz w:val="24"/>
          <w:szCs w:val="24"/>
          <w:highlight w:val="none"/>
          <w:lang w:eastAsia="zh-CN"/>
        </w:rPr>
        <w:t>。</w:t>
      </w:r>
      <w:r>
        <w:rPr>
          <w:rFonts w:hint="eastAsia" w:ascii="宋体" w:hAnsi="宋体" w:eastAsia="宋体" w:cs="宋体"/>
          <w:sz w:val="24"/>
          <w:szCs w:val="24"/>
        </w:rPr>
        <w:t>计量资料</w:t>
      </w:r>
      <w:r>
        <w:rPr>
          <w:rFonts w:hint="eastAsia" w:ascii="宋体" w:hAnsi="宋体" w:eastAsia="宋体" w:cs="宋体"/>
          <w:color w:val="auto"/>
          <w:sz w:val="24"/>
          <w:szCs w:val="24"/>
          <w:highlight w:val="none"/>
        </w:rPr>
        <w:t>（符合正态分布）</w:t>
      </w:r>
      <w:r>
        <w:rPr>
          <w:rFonts w:hint="eastAsia" w:ascii="宋体" w:hAnsi="宋体" w:eastAsia="宋体" w:cs="宋体"/>
          <w:sz w:val="24"/>
          <w:szCs w:val="24"/>
        </w:rPr>
        <w:t>以</w:t>
      </w:r>
      <w:r>
        <w:rPr>
          <w:rFonts w:ascii="Times New Roman" w:hAnsi="Times New Roman"/>
          <w:sz w:val="24"/>
        </w:rPr>
        <w:t>（</w:t>
      </w:r>
      <w:r>
        <w:rPr>
          <w:rFonts w:ascii="Times New Roman" w:hAnsi="Times New Roman"/>
          <w:sz w:val="24"/>
        </w:rPr>
        <w:object>
          <v:shape id="_x0000_i1025" o:spt="75" type="#_x0000_t75" style="height:14.75pt;width:22.55pt;" o:ole="t" filled="f" o:preferrelative="t" stroked="f" coordsize="21600,21600">
            <v:path/>
            <v:fill on="f" focussize="0,0"/>
            <v:stroke on="f"/>
            <v:imagedata r:id="rId5" o:title=""/>
            <o:lock v:ext="edit" aspectratio="t"/>
            <w10:wrap type="none"/>
            <w10:anchorlock/>
          </v:shape>
          <o:OLEObject Type="Embed" ProgID="Equation.KSEE3" ShapeID="_x0000_i1025" DrawAspect="Content" ObjectID="_1468075725" r:id="rId4">
            <o:LockedField>false</o:LockedField>
          </o:OLEObject>
        </w:object>
      </w:r>
      <w:r>
        <w:rPr>
          <w:rFonts w:ascii="Times New Roman" w:hAnsi="Times New Roman"/>
          <w:sz w:val="24"/>
        </w:rPr>
        <w:t>）</w:t>
      </w:r>
      <w:r>
        <w:rPr>
          <w:rFonts w:hint="eastAsia" w:ascii="宋体" w:hAnsi="宋体" w:eastAsia="宋体" w:cs="宋体"/>
          <w:sz w:val="24"/>
          <w:szCs w:val="24"/>
        </w:rPr>
        <w:t>表示，采用</w:t>
      </w:r>
      <w:r>
        <w:rPr>
          <w:rFonts w:ascii="Times New Roman" w:hAnsi="Times New Roman"/>
          <w:i/>
          <w:iCs/>
          <w:sz w:val="24"/>
        </w:rPr>
        <w:t>t</w:t>
      </w:r>
      <w:r>
        <w:rPr>
          <w:rFonts w:hint="eastAsia" w:ascii="宋体" w:hAnsi="宋体" w:eastAsia="宋体" w:cs="宋体"/>
          <w:sz w:val="24"/>
          <w:szCs w:val="24"/>
        </w:rPr>
        <w:t>检验</w:t>
      </w:r>
      <w:r>
        <w:rPr>
          <w:rFonts w:hint="eastAsia" w:ascii="宋体" w:hAnsi="宋体" w:eastAsia="宋体" w:cs="宋体"/>
          <w:sz w:val="24"/>
          <w:szCs w:val="24"/>
          <w:lang w:eastAsia="zh-CN"/>
        </w:rPr>
        <w:t>；</w:t>
      </w:r>
      <w:r>
        <w:rPr>
          <w:rFonts w:hint="eastAsia" w:ascii="宋体" w:hAnsi="宋体" w:eastAsia="宋体" w:cs="宋体"/>
          <w:sz w:val="24"/>
          <w:szCs w:val="24"/>
        </w:rPr>
        <w:t>计数资料以</w:t>
      </w:r>
      <w:r>
        <w:rPr>
          <w:rFonts w:hint="eastAsia" w:ascii="宋体" w:hAnsi="宋体" w:eastAsia="宋体" w:cs="宋体"/>
          <w:sz w:val="24"/>
          <w:szCs w:val="24"/>
          <w:lang w:val="en-US" w:eastAsia="zh-CN"/>
        </w:rPr>
        <w:t>%</w:t>
      </w:r>
      <w:r>
        <w:rPr>
          <w:rFonts w:hint="eastAsia" w:ascii="宋体" w:hAnsi="宋体" w:eastAsia="宋体" w:cs="宋体"/>
          <w:sz w:val="24"/>
          <w:szCs w:val="24"/>
        </w:rPr>
        <w:t>表示，采用</w:t>
      </w:r>
      <w:bookmarkStart w:id="3" w:name="OLE_LINK34"/>
      <w:bookmarkStart w:id="4" w:name="OLE_LINK33"/>
      <w:r>
        <w:rPr>
          <w:i/>
          <w:iCs/>
          <w:color w:val="000000"/>
          <w:kern w:val="0"/>
          <w:sz w:val="24"/>
          <w:szCs w:val="24"/>
        </w:rPr>
        <w:t>χ</w:t>
      </w:r>
      <w:r>
        <w:rPr>
          <w:color w:val="000000"/>
          <w:kern w:val="0"/>
          <w:sz w:val="24"/>
          <w:szCs w:val="24"/>
          <w:vertAlign w:val="superscript"/>
        </w:rPr>
        <w:t>2</w:t>
      </w:r>
      <w:bookmarkEnd w:id="3"/>
      <w:bookmarkEnd w:id="4"/>
      <w:r>
        <w:rPr>
          <w:rFonts w:hint="eastAsia" w:ascii="宋体" w:hAnsi="宋体" w:eastAsia="宋体" w:cs="宋体"/>
          <w:sz w:val="24"/>
          <w:szCs w:val="24"/>
        </w:rPr>
        <w:t>检验。</w:t>
      </w:r>
      <w:r>
        <w:rPr>
          <w:rFonts w:ascii="Times New Roman" w:hAnsi="Times New Roman"/>
          <w:i/>
          <w:sz w:val="24"/>
        </w:rPr>
        <w:t>P</w:t>
      </w:r>
      <w:r>
        <w:rPr>
          <w:rFonts w:hint="eastAsia" w:ascii="Times New Roman" w:hAnsi="Times New Roman"/>
          <w:sz w:val="24"/>
        </w:rPr>
        <w:t>＜</w:t>
      </w:r>
      <w:r>
        <w:rPr>
          <w:rFonts w:ascii="Times New Roman" w:hAnsi="Times New Roman"/>
          <w:sz w:val="24"/>
        </w:rPr>
        <w:t>0.05</w:t>
      </w:r>
      <w:r>
        <w:rPr>
          <w:rFonts w:hint="eastAsia" w:ascii="宋体" w:hAnsi="宋体" w:eastAsia="宋体" w:cs="宋体"/>
          <w:sz w:val="24"/>
          <w:szCs w:val="24"/>
        </w:rPr>
        <w:t>为差异有统计学意义。</w:t>
      </w:r>
    </w:p>
    <w:p>
      <w:pPr>
        <w:spacing w:line="360" w:lineRule="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rPr>
        <w:t>2</w:t>
      </w:r>
      <w:r>
        <w:rPr>
          <w:rFonts w:hint="eastAsia" w:ascii="宋体" w:hAnsi="宋体" w:eastAsia="宋体" w:cs="宋体"/>
          <w:b/>
          <w:bCs/>
          <w:color w:val="auto"/>
          <w:sz w:val="24"/>
          <w:szCs w:val="24"/>
          <w:highlight w:val="none"/>
          <w:lang w:val="en-US" w:eastAsia="zh-CN"/>
        </w:rPr>
        <w:t xml:space="preserve">    </w:t>
      </w:r>
      <w:r>
        <w:rPr>
          <w:rFonts w:hint="eastAsia" w:ascii="宋体" w:hAnsi="宋体" w:eastAsia="宋体" w:cs="宋体"/>
          <w:b/>
          <w:bCs/>
          <w:color w:val="auto"/>
          <w:sz w:val="24"/>
          <w:szCs w:val="24"/>
          <w:highlight w:val="none"/>
        </w:rPr>
        <w:t>结果</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b w:val="0"/>
          <w:bCs w:val="0"/>
          <w:color w:val="auto"/>
          <w:sz w:val="24"/>
          <w:szCs w:val="24"/>
          <w:highlight w:val="none"/>
        </w:rPr>
        <w:t>2.1</w:t>
      </w:r>
      <w:r>
        <w:rPr>
          <w:rFonts w:hint="eastAsia" w:ascii="宋体" w:hAnsi="宋体" w:eastAsia="宋体" w:cs="宋体"/>
          <w:b w:val="0"/>
          <w:bCs w:val="0"/>
          <w:color w:val="auto"/>
          <w:sz w:val="24"/>
          <w:szCs w:val="24"/>
          <w:highlight w:val="none"/>
          <w:lang w:val="en-US" w:eastAsia="zh-CN"/>
        </w:rPr>
        <w:t xml:space="preserve">    </w:t>
      </w:r>
      <w:r>
        <w:rPr>
          <w:rFonts w:hint="eastAsia" w:ascii="宋体" w:hAnsi="宋体" w:eastAsia="宋体" w:cs="宋体"/>
          <w:b w:val="0"/>
          <w:bCs w:val="0"/>
          <w:color w:val="auto"/>
          <w:sz w:val="24"/>
          <w:szCs w:val="24"/>
          <w:highlight w:val="none"/>
        </w:rPr>
        <w:t>两组治疗效果比较</w:t>
      </w:r>
      <w:r>
        <w:rPr>
          <w:rFonts w:hint="eastAsia" w:ascii="宋体" w:hAnsi="宋体" w:eastAsia="宋体" w:cs="宋体"/>
          <w:b w:val="0"/>
          <w:bCs w:val="0"/>
          <w:color w:val="auto"/>
          <w:sz w:val="24"/>
          <w:szCs w:val="24"/>
          <w:highlight w:val="none"/>
          <w:lang w:val="en-US" w:eastAsia="zh-CN"/>
        </w:rPr>
        <w:t xml:space="preserve">    </w:t>
      </w:r>
      <w:r>
        <w:rPr>
          <w:rFonts w:hint="eastAsia" w:ascii="宋体" w:hAnsi="宋体" w:eastAsia="宋体" w:cs="宋体"/>
          <w:color w:val="auto"/>
          <w:sz w:val="24"/>
          <w:szCs w:val="24"/>
          <w:highlight w:val="none"/>
        </w:rPr>
        <w:t>观察组总有效率</w:t>
      </w:r>
      <w:r>
        <w:rPr>
          <w:rFonts w:hint="eastAsia" w:ascii="宋体" w:hAnsi="宋体" w:eastAsia="宋体" w:cs="宋体"/>
          <w:color w:val="auto"/>
          <w:sz w:val="24"/>
          <w:szCs w:val="24"/>
          <w:highlight w:val="none"/>
          <w:lang w:val="en-US" w:eastAsia="zh-CN"/>
        </w:rPr>
        <w:t>为</w:t>
      </w:r>
      <w:r>
        <w:rPr>
          <w:rFonts w:hint="eastAsia" w:ascii="宋体" w:hAnsi="宋体" w:eastAsia="宋体" w:cs="宋体"/>
          <w:color w:val="auto"/>
          <w:sz w:val="24"/>
          <w:szCs w:val="24"/>
          <w:highlight w:val="none"/>
        </w:rPr>
        <w:t>95.00%</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高于对照组的</w:t>
      </w:r>
      <w:r>
        <w:rPr>
          <w:rFonts w:hint="eastAsia" w:ascii="宋体" w:hAnsi="宋体" w:eastAsia="宋体" w:cs="宋体"/>
          <w:color w:val="auto"/>
          <w:sz w:val="24"/>
          <w:szCs w:val="24"/>
          <w:highlight w:val="none"/>
        </w:rPr>
        <w:t>65</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00%（</w:t>
      </w:r>
      <w:r>
        <w:rPr>
          <w:rFonts w:ascii="Times New Roman" w:hAnsi="Times New Roman"/>
          <w:i/>
          <w:sz w:val="24"/>
        </w:rPr>
        <w:t>P</w:t>
      </w:r>
      <w:r>
        <w:rPr>
          <w:rFonts w:hint="eastAsia" w:ascii="Times New Roman" w:hAnsi="Times New Roman"/>
          <w:sz w:val="24"/>
        </w:rPr>
        <w:t>＜</w:t>
      </w:r>
      <w:r>
        <w:rPr>
          <w:rFonts w:ascii="Times New Roman" w:hAnsi="Times New Roman"/>
          <w:sz w:val="24"/>
        </w:rPr>
        <w:t>0.05</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见表1。</w:t>
      </w:r>
    </w:p>
    <w:p>
      <w:pPr>
        <w:spacing w:line="360" w:lineRule="auto"/>
        <w:jc w:val="center"/>
        <w:rPr>
          <w:rFonts w:hint="eastAsia" w:ascii="宋体" w:hAnsi="宋体" w:eastAsia="宋体" w:cs="宋体"/>
          <w:color w:val="auto"/>
          <w:sz w:val="24"/>
          <w:szCs w:val="24"/>
          <w:highlight w:val="none"/>
        </w:rPr>
      </w:pPr>
    </w:p>
    <w:p>
      <w:pPr>
        <w:spacing w:line="360" w:lineRule="auto"/>
        <w:jc w:val="center"/>
        <w:rPr>
          <w:rFonts w:hint="eastAsia" w:ascii="宋体" w:hAnsi="宋体" w:eastAsia="宋体" w:cs="宋体"/>
          <w:color w:val="auto"/>
          <w:sz w:val="24"/>
          <w:szCs w:val="24"/>
          <w:highlight w:val="none"/>
        </w:rPr>
      </w:pPr>
    </w:p>
    <w:p>
      <w:pPr>
        <w:spacing w:line="360" w:lineRule="auto"/>
        <w:jc w:val="center"/>
        <w:rPr>
          <w:rFonts w:hint="eastAsia" w:ascii="宋体" w:hAnsi="宋体" w:eastAsia="宋体" w:cs="宋体"/>
          <w:color w:val="auto"/>
          <w:sz w:val="24"/>
          <w:szCs w:val="24"/>
          <w:highlight w:val="none"/>
        </w:rPr>
      </w:pPr>
    </w:p>
    <w:p>
      <w:pPr>
        <w:spacing w:line="360" w:lineRule="auto"/>
        <w:jc w:val="center"/>
        <w:rPr>
          <w:rFonts w:hint="eastAsia" w:ascii="宋体" w:hAnsi="宋体" w:eastAsia="宋体" w:cs="宋体"/>
          <w:color w:val="auto"/>
          <w:sz w:val="24"/>
          <w:szCs w:val="24"/>
          <w:highlight w:val="none"/>
        </w:rPr>
      </w:pPr>
    </w:p>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表1</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两组治疗效果比较[</w:t>
      </w:r>
      <w:r>
        <w:rPr>
          <w:rFonts w:hint="eastAsia" w:ascii="宋体" w:hAnsi="宋体" w:eastAsia="宋体" w:cs="宋体"/>
          <w:color w:val="auto"/>
          <w:sz w:val="24"/>
          <w:szCs w:val="24"/>
          <w:highlight w:val="none"/>
          <w:lang w:eastAsia="zh-CN"/>
        </w:rPr>
        <w:t>例</w:t>
      </w:r>
      <w:r>
        <w:rPr>
          <w:rFonts w:hint="eastAsia" w:ascii="宋体" w:hAnsi="宋体" w:eastAsia="宋体" w:cs="宋体"/>
          <w:color w:val="auto"/>
          <w:sz w:val="24"/>
          <w:szCs w:val="24"/>
          <w:highlight w:val="none"/>
        </w:rPr>
        <w:t>（%）]</w:t>
      </w:r>
    </w:p>
    <w:tbl>
      <w:tblPr>
        <w:tblStyle w:val="6"/>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1419"/>
        <w:gridCol w:w="1419"/>
        <w:gridCol w:w="1419"/>
        <w:gridCol w:w="1420"/>
        <w:gridCol w:w="1420"/>
        <w:gridCol w:w="1420"/>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419" w:type="dxa"/>
            <w:tcBorders>
              <w:tl2br w:val="nil"/>
              <w:tr2bl w:val="nil"/>
            </w:tcBorders>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组别</w:t>
            </w:r>
          </w:p>
        </w:tc>
        <w:tc>
          <w:tcPr>
            <w:tcW w:w="1419" w:type="dxa"/>
            <w:tcBorders>
              <w:tl2br w:val="nil"/>
              <w:tr2bl w:val="nil"/>
            </w:tcBorders>
          </w:tcPr>
          <w:p>
            <w:pPr>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i/>
                <w:iCs/>
                <w:color w:val="auto"/>
                <w:sz w:val="24"/>
                <w:szCs w:val="24"/>
                <w:highlight w:val="none"/>
                <w:lang w:val="en-US" w:eastAsia="zh-CN"/>
              </w:rPr>
              <w:t>n</w:t>
            </w:r>
          </w:p>
        </w:tc>
        <w:tc>
          <w:tcPr>
            <w:tcW w:w="1419" w:type="dxa"/>
            <w:tcBorders>
              <w:tl2br w:val="nil"/>
              <w:tr2bl w:val="nil"/>
            </w:tcBorders>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显效</w:t>
            </w:r>
          </w:p>
        </w:tc>
        <w:tc>
          <w:tcPr>
            <w:tcW w:w="1420" w:type="dxa"/>
            <w:tcBorders>
              <w:tl2br w:val="nil"/>
              <w:tr2bl w:val="nil"/>
            </w:tcBorders>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有效</w:t>
            </w:r>
          </w:p>
        </w:tc>
        <w:tc>
          <w:tcPr>
            <w:tcW w:w="1420" w:type="dxa"/>
            <w:tcBorders>
              <w:tl2br w:val="nil"/>
              <w:tr2bl w:val="nil"/>
            </w:tcBorders>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无效</w:t>
            </w:r>
          </w:p>
        </w:tc>
        <w:tc>
          <w:tcPr>
            <w:tcW w:w="1420" w:type="dxa"/>
            <w:tcBorders>
              <w:tl2br w:val="nil"/>
              <w:tr2bl w:val="nil"/>
            </w:tcBorders>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总有效</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419" w:type="dxa"/>
            <w:tcBorders>
              <w:bottom w:val="nil"/>
              <w:tl2br w:val="nil"/>
              <w:tr2bl w:val="nil"/>
            </w:tcBorders>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对照组</w:t>
            </w:r>
          </w:p>
        </w:tc>
        <w:tc>
          <w:tcPr>
            <w:tcW w:w="1419" w:type="dxa"/>
            <w:tcBorders>
              <w:bottom w:val="nil"/>
              <w:tl2br w:val="nil"/>
              <w:tr2bl w:val="nil"/>
            </w:tcBorders>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w:t>
            </w:r>
          </w:p>
        </w:tc>
        <w:tc>
          <w:tcPr>
            <w:tcW w:w="1419" w:type="dxa"/>
            <w:tcBorders>
              <w:bottom w:val="nil"/>
              <w:tl2br w:val="nil"/>
              <w:tr2bl w:val="nil"/>
            </w:tcBorders>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5（25.00）</w:t>
            </w:r>
          </w:p>
        </w:tc>
        <w:tc>
          <w:tcPr>
            <w:tcW w:w="1420" w:type="dxa"/>
            <w:tcBorders>
              <w:bottom w:val="nil"/>
              <w:tl2br w:val="nil"/>
              <w:tr2bl w:val="nil"/>
            </w:tcBorders>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8（40.00）</w:t>
            </w:r>
          </w:p>
        </w:tc>
        <w:tc>
          <w:tcPr>
            <w:tcW w:w="1420" w:type="dxa"/>
            <w:tcBorders>
              <w:bottom w:val="nil"/>
              <w:tl2br w:val="nil"/>
              <w:tr2bl w:val="nil"/>
            </w:tcBorders>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7（35.00）</w:t>
            </w:r>
          </w:p>
        </w:tc>
        <w:tc>
          <w:tcPr>
            <w:tcW w:w="1420" w:type="dxa"/>
            <w:tcBorders>
              <w:bottom w:val="nil"/>
              <w:tl2br w:val="nil"/>
              <w:tr2bl w:val="nil"/>
            </w:tcBorders>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13（65.00）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419" w:type="dxa"/>
            <w:tcBorders>
              <w:top w:val="nil"/>
              <w:bottom w:val="nil"/>
            </w:tcBorders>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观察组</w:t>
            </w:r>
          </w:p>
        </w:tc>
        <w:tc>
          <w:tcPr>
            <w:tcW w:w="1419" w:type="dxa"/>
            <w:tcBorders>
              <w:top w:val="nil"/>
              <w:bottom w:val="nil"/>
            </w:tcBorders>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w:t>
            </w:r>
          </w:p>
        </w:tc>
        <w:tc>
          <w:tcPr>
            <w:tcW w:w="1419" w:type="dxa"/>
            <w:tcBorders>
              <w:top w:val="nil"/>
              <w:bottom w:val="nil"/>
            </w:tcBorders>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9（45.00）</w:t>
            </w:r>
          </w:p>
        </w:tc>
        <w:tc>
          <w:tcPr>
            <w:tcW w:w="1420" w:type="dxa"/>
            <w:tcBorders>
              <w:top w:val="nil"/>
              <w:bottom w:val="nil"/>
            </w:tcBorders>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10（50.00）</w:t>
            </w:r>
          </w:p>
        </w:tc>
        <w:tc>
          <w:tcPr>
            <w:tcW w:w="1420" w:type="dxa"/>
            <w:tcBorders>
              <w:top w:val="nil"/>
              <w:bottom w:val="nil"/>
            </w:tcBorders>
          </w:tcPr>
          <w:p>
            <w:pPr>
              <w:spacing w:line="360"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1（5.00）</w:t>
            </w:r>
          </w:p>
        </w:tc>
        <w:tc>
          <w:tcPr>
            <w:tcW w:w="1420" w:type="dxa"/>
            <w:tcBorders>
              <w:top w:val="nil"/>
              <w:bottom w:val="nil"/>
            </w:tcBorders>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19（95.00）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97" w:hRule="atLeast"/>
        </w:trPr>
        <w:tc>
          <w:tcPr>
            <w:tcW w:w="1419" w:type="dxa"/>
            <w:tcBorders>
              <w:top w:val="nil"/>
              <w:bottom w:val="nil"/>
            </w:tcBorders>
          </w:tcPr>
          <w:p>
            <w:pPr>
              <w:spacing w:line="360" w:lineRule="auto"/>
              <w:jc w:val="both"/>
              <w:rPr>
                <w:rFonts w:hint="eastAsia" w:ascii="宋体" w:hAnsi="宋体" w:eastAsia="宋体" w:cs="宋体"/>
                <w:i/>
                <w:iCs/>
                <w:color w:val="auto"/>
                <w:sz w:val="24"/>
                <w:szCs w:val="24"/>
                <w:highlight w:val="none"/>
              </w:rPr>
            </w:pPr>
            <w:r>
              <w:rPr>
                <w:rFonts w:hint="eastAsia" w:ascii="宋体" w:hAnsi="宋体" w:eastAsia="宋体" w:cs="宋体"/>
                <w:i/>
                <w:iCs/>
                <w:color w:val="auto"/>
                <w:sz w:val="24"/>
                <w:szCs w:val="24"/>
                <w:highlight w:val="none"/>
                <w:lang w:val="en-US" w:eastAsia="zh-CN"/>
              </w:rPr>
              <w:t xml:space="preserve">  </w:t>
            </w:r>
            <w:r>
              <w:rPr>
                <w:i/>
                <w:iCs/>
                <w:color w:val="000000"/>
                <w:kern w:val="0"/>
                <w:sz w:val="24"/>
              </w:rPr>
              <w:t>χ</w:t>
            </w:r>
            <w:r>
              <w:rPr>
                <w:color w:val="000000"/>
                <w:kern w:val="0"/>
                <w:sz w:val="24"/>
                <w:vertAlign w:val="superscript"/>
              </w:rPr>
              <w:t>2</w:t>
            </w:r>
          </w:p>
        </w:tc>
        <w:tc>
          <w:tcPr>
            <w:tcW w:w="1419" w:type="dxa"/>
            <w:tcBorders>
              <w:top w:val="nil"/>
              <w:bottom w:val="nil"/>
            </w:tcBorders>
          </w:tcPr>
          <w:p>
            <w:pPr>
              <w:spacing w:line="360" w:lineRule="auto"/>
              <w:jc w:val="center"/>
              <w:rPr>
                <w:rFonts w:hint="eastAsia" w:ascii="宋体" w:hAnsi="宋体" w:eastAsia="宋体" w:cs="宋体"/>
                <w:color w:val="auto"/>
                <w:sz w:val="24"/>
                <w:szCs w:val="24"/>
                <w:highlight w:val="none"/>
              </w:rPr>
            </w:pPr>
          </w:p>
        </w:tc>
        <w:tc>
          <w:tcPr>
            <w:tcW w:w="1419" w:type="dxa"/>
            <w:tcBorders>
              <w:top w:val="nil"/>
              <w:bottom w:val="nil"/>
            </w:tcBorders>
          </w:tcPr>
          <w:p>
            <w:pPr>
              <w:spacing w:line="360" w:lineRule="auto"/>
              <w:jc w:val="center"/>
              <w:rPr>
                <w:rFonts w:hint="eastAsia" w:ascii="宋体" w:hAnsi="宋体" w:eastAsia="宋体" w:cs="宋体"/>
                <w:color w:val="auto"/>
                <w:sz w:val="24"/>
                <w:szCs w:val="24"/>
                <w:highlight w:val="none"/>
              </w:rPr>
            </w:pPr>
          </w:p>
        </w:tc>
        <w:tc>
          <w:tcPr>
            <w:tcW w:w="1420" w:type="dxa"/>
            <w:tcBorders>
              <w:top w:val="nil"/>
              <w:bottom w:val="nil"/>
            </w:tcBorders>
          </w:tcPr>
          <w:p>
            <w:pPr>
              <w:spacing w:line="360" w:lineRule="auto"/>
              <w:jc w:val="center"/>
              <w:rPr>
                <w:rFonts w:hint="eastAsia" w:ascii="宋体" w:hAnsi="宋体" w:eastAsia="宋体" w:cs="宋体"/>
                <w:color w:val="auto"/>
                <w:sz w:val="24"/>
                <w:szCs w:val="24"/>
                <w:highlight w:val="none"/>
              </w:rPr>
            </w:pPr>
          </w:p>
        </w:tc>
        <w:tc>
          <w:tcPr>
            <w:tcW w:w="1420" w:type="dxa"/>
            <w:tcBorders>
              <w:top w:val="nil"/>
              <w:bottom w:val="nil"/>
            </w:tcBorders>
          </w:tcPr>
          <w:p>
            <w:pPr>
              <w:spacing w:line="360" w:lineRule="auto"/>
              <w:jc w:val="center"/>
              <w:rPr>
                <w:rFonts w:hint="eastAsia" w:ascii="宋体" w:hAnsi="宋体" w:eastAsia="宋体" w:cs="宋体"/>
                <w:color w:val="auto"/>
                <w:sz w:val="24"/>
                <w:szCs w:val="24"/>
                <w:highlight w:val="none"/>
              </w:rPr>
            </w:pPr>
          </w:p>
        </w:tc>
        <w:tc>
          <w:tcPr>
            <w:tcW w:w="1420" w:type="dxa"/>
            <w:tcBorders>
              <w:top w:val="nil"/>
              <w:bottom w:val="nil"/>
            </w:tcBorders>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3.906</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419" w:type="dxa"/>
            <w:tcBorders>
              <w:top w:val="nil"/>
              <w:tl2br w:val="nil"/>
              <w:tr2bl w:val="nil"/>
            </w:tcBorders>
          </w:tcPr>
          <w:p>
            <w:pPr>
              <w:spacing w:line="360" w:lineRule="auto"/>
              <w:jc w:val="both"/>
              <w:rPr>
                <w:rFonts w:hint="eastAsia" w:ascii="宋体" w:hAnsi="宋体" w:eastAsia="宋体" w:cs="宋体"/>
                <w:i/>
                <w:iCs/>
                <w:color w:val="auto"/>
                <w:sz w:val="24"/>
                <w:szCs w:val="24"/>
                <w:highlight w:val="none"/>
              </w:rPr>
            </w:pPr>
            <w:r>
              <w:rPr>
                <w:rFonts w:hint="eastAsia" w:ascii="宋体" w:hAnsi="宋体" w:eastAsia="宋体" w:cs="宋体"/>
                <w:i/>
                <w:iCs/>
                <w:color w:val="auto"/>
                <w:sz w:val="24"/>
                <w:szCs w:val="24"/>
                <w:highlight w:val="none"/>
                <w:lang w:val="en-US" w:eastAsia="zh-CN"/>
              </w:rPr>
              <w:t xml:space="preserve">  </w:t>
            </w:r>
            <w:r>
              <w:rPr>
                <w:rFonts w:ascii="Times New Roman" w:hAnsi="Times New Roman"/>
                <w:i/>
                <w:iCs/>
                <w:kern w:val="0"/>
                <w:sz w:val="24"/>
              </w:rPr>
              <w:t>P</w:t>
            </w:r>
          </w:p>
        </w:tc>
        <w:tc>
          <w:tcPr>
            <w:tcW w:w="1419" w:type="dxa"/>
            <w:tcBorders>
              <w:top w:val="nil"/>
              <w:tl2br w:val="nil"/>
              <w:tr2bl w:val="nil"/>
            </w:tcBorders>
          </w:tcPr>
          <w:p>
            <w:pPr>
              <w:spacing w:line="360" w:lineRule="auto"/>
              <w:jc w:val="center"/>
              <w:rPr>
                <w:rFonts w:hint="eastAsia" w:ascii="宋体" w:hAnsi="宋体" w:eastAsia="宋体" w:cs="宋体"/>
                <w:color w:val="auto"/>
                <w:sz w:val="24"/>
                <w:szCs w:val="24"/>
                <w:highlight w:val="none"/>
              </w:rPr>
            </w:pPr>
          </w:p>
        </w:tc>
        <w:tc>
          <w:tcPr>
            <w:tcW w:w="1419" w:type="dxa"/>
            <w:tcBorders>
              <w:top w:val="nil"/>
              <w:tl2br w:val="nil"/>
              <w:tr2bl w:val="nil"/>
            </w:tcBorders>
          </w:tcPr>
          <w:p>
            <w:pPr>
              <w:spacing w:line="360" w:lineRule="auto"/>
              <w:jc w:val="center"/>
              <w:rPr>
                <w:rFonts w:hint="eastAsia" w:ascii="宋体" w:hAnsi="宋体" w:eastAsia="宋体" w:cs="宋体"/>
                <w:color w:val="auto"/>
                <w:sz w:val="24"/>
                <w:szCs w:val="24"/>
                <w:highlight w:val="none"/>
              </w:rPr>
            </w:pPr>
          </w:p>
        </w:tc>
        <w:tc>
          <w:tcPr>
            <w:tcW w:w="1420" w:type="dxa"/>
            <w:tcBorders>
              <w:top w:val="nil"/>
              <w:tl2br w:val="nil"/>
              <w:tr2bl w:val="nil"/>
            </w:tcBorders>
          </w:tcPr>
          <w:p>
            <w:pPr>
              <w:spacing w:line="360" w:lineRule="auto"/>
              <w:jc w:val="center"/>
              <w:rPr>
                <w:rFonts w:hint="eastAsia" w:ascii="宋体" w:hAnsi="宋体" w:eastAsia="宋体" w:cs="宋体"/>
                <w:color w:val="auto"/>
                <w:sz w:val="24"/>
                <w:szCs w:val="24"/>
                <w:highlight w:val="none"/>
              </w:rPr>
            </w:pPr>
          </w:p>
        </w:tc>
        <w:tc>
          <w:tcPr>
            <w:tcW w:w="1420" w:type="dxa"/>
            <w:tcBorders>
              <w:top w:val="nil"/>
              <w:tl2br w:val="nil"/>
              <w:tr2bl w:val="nil"/>
            </w:tcBorders>
          </w:tcPr>
          <w:p>
            <w:pPr>
              <w:spacing w:line="360" w:lineRule="auto"/>
              <w:jc w:val="center"/>
              <w:rPr>
                <w:rFonts w:hint="eastAsia" w:ascii="宋体" w:hAnsi="宋体" w:eastAsia="宋体" w:cs="宋体"/>
                <w:color w:val="auto"/>
                <w:sz w:val="24"/>
                <w:szCs w:val="24"/>
                <w:highlight w:val="none"/>
              </w:rPr>
            </w:pPr>
          </w:p>
        </w:tc>
        <w:tc>
          <w:tcPr>
            <w:tcW w:w="1420" w:type="dxa"/>
            <w:tcBorders>
              <w:top w:val="nil"/>
              <w:tl2br w:val="nil"/>
              <w:tr2bl w:val="nil"/>
            </w:tcBorders>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0.048</w:t>
            </w:r>
          </w:p>
        </w:tc>
      </w:tr>
    </w:tbl>
    <w:p>
      <w:pPr>
        <w:spacing w:line="360" w:lineRule="auto"/>
        <w:rPr>
          <w:rFonts w:hint="eastAsia" w:ascii="宋体" w:hAnsi="宋体" w:eastAsia="宋体" w:cs="宋体"/>
          <w:b/>
          <w:bCs/>
          <w:color w:val="auto"/>
          <w:sz w:val="24"/>
          <w:szCs w:val="24"/>
          <w:highlight w:val="none"/>
        </w:rPr>
      </w:pPr>
    </w:p>
    <w:p>
      <w:pPr>
        <w:spacing w:line="360" w:lineRule="auto"/>
        <w:rPr>
          <w:rFonts w:hint="eastAsia" w:ascii="宋体" w:hAnsi="宋体" w:eastAsia="宋体" w:cs="宋体"/>
          <w:color w:val="auto"/>
          <w:sz w:val="24"/>
          <w:szCs w:val="24"/>
          <w:highlight w:val="none"/>
        </w:rPr>
      </w:pPr>
      <w:r>
        <w:rPr>
          <w:rFonts w:hint="eastAsia" w:ascii="宋体" w:hAnsi="宋体" w:eastAsia="宋体" w:cs="宋体"/>
          <w:b w:val="0"/>
          <w:bCs w:val="0"/>
          <w:color w:val="auto"/>
          <w:sz w:val="24"/>
          <w:szCs w:val="24"/>
          <w:highlight w:val="none"/>
        </w:rPr>
        <w:t>2.2</w:t>
      </w:r>
      <w:r>
        <w:rPr>
          <w:rFonts w:hint="eastAsia" w:ascii="宋体" w:hAnsi="宋体" w:eastAsia="宋体" w:cs="宋体"/>
          <w:b w:val="0"/>
          <w:bCs w:val="0"/>
          <w:color w:val="auto"/>
          <w:sz w:val="24"/>
          <w:szCs w:val="24"/>
          <w:highlight w:val="none"/>
          <w:lang w:val="en-US" w:eastAsia="zh-CN"/>
        </w:rPr>
        <w:t xml:space="preserve">    </w:t>
      </w:r>
      <w:r>
        <w:rPr>
          <w:rFonts w:hint="eastAsia" w:ascii="宋体" w:hAnsi="宋体" w:eastAsia="宋体" w:cs="宋体"/>
          <w:b w:val="0"/>
          <w:bCs w:val="0"/>
          <w:color w:val="auto"/>
          <w:sz w:val="24"/>
          <w:szCs w:val="24"/>
          <w:highlight w:val="none"/>
        </w:rPr>
        <w:t>两组NIHSS、GCS、mRS评分比较</w:t>
      </w:r>
      <w:r>
        <w:rPr>
          <w:rFonts w:hint="eastAsia" w:ascii="宋体" w:hAnsi="宋体" w:eastAsia="宋体" w:cs="宋体"/>
          <w:b w:val="0"/>
          <w:bCs w:val="0"/>
          <w:color w:val="auto"/>
          <w:sz w:val="24"/>
          <w:szCs w:val="24"/>
          <w:highlight w:val="none"/>
          <w:lang w:val="en-US" w:eastAsia="zh-CN"/>
        </w:rPr>
        <w:t xml:space="preserve">    </w:t>
      </w:r>
      <w:r>
        <w:rPr>
          <w:rFonts w:hint="eastAsia" w:ascii="宋体" w:hAnsi="宋体" w:eastAsia="宋体" w:cs="宋体"/>
          <w:color w:val="auto"/>
          <w:sz w:val="24"/>
          <w:szCs w:val="24"/>
          <w:highlight w:val="none"/>
        </w:rPr>
        <w:t>观察组治疗后1个月NIHSS、mRS评分均低于对照组（</w:t>
      </w:r>
      <w:r>
        <w:rPr>
          <w:rFonts w:ascii="Times New Roman" w:hAnsi="Times New Roman"/>
          <w:i/>
          <w:sz w:val="24"/>
        </w:rPr>
        <w:t>P</w:t>
      </w:r>
      <w:r>
        <w:rPr>
          <w:rFonts w:hint="eastAsia" w:ascii="Times New Roman" w:hAnsi="Times New Roman"/>
          <w:sz w:val="24"/>
        </w:rPr>
        <w:t>＜</w:t>
      </w:r>
      <w:r>
        <w:rPr>
          <w:rFonts w:ascii="Times New Roman" w:hAnsi="Times New Roman"/>
          <w:sz w:val="24"/>
        </w:rPr>
        <w:t>0.05</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GCS评分</w:t>
      </w:r>
      <w:r>
        <w:rPr>
          <w:rFonts w:hint="eastAsia" w:ascii="宋体" w:hAnsi="宋体" w:eastAsia="宋体" w:cs="宋体"/>
          <w:color w:val="auto"/>
          <w:sz w:val="24"/>
          <w:szCs w:val="24"/>
          <w:highlight w:val="none"/>
          <w:lang w:val="en-US" w:eastAsia="zh-CN"/>
        </w:rPr>
        <w:t>高于对照组</w:t>
      </w:r>
      <w:r>
        <w:rPr>
          <w:rFonts w:hint="eastAsia" w:ascii="宋体" w:hAnsi="宋体" w:eastAsia="宋体" w:cs="宋体"/>
          <w:color w:val="auto"/>
          <w:sz w:val="24"/>
          <w:szCs w:val="24"/>
          <w:highlight w:val="none"/>
        </w:rPr>
        <w:t>（</w:t>
      </w:r>
      <w:r>
        <w:rPr>
          <w:rFonts w:ascii="Times New Roman" w:hAnsi="Times New Roman"/>
          <w:i/>
          <w:sz w:val="24"/>
        </w:rPr>
        <w:t>P</w:t>
      </w:r>
      <w:r>
        <w:rPr>
          <w:rFonts w:hint="eastAsia" w:ascii="Times New Roman" w:hAnsi="Times New Roman"/>
          <w:sz w:val="24"/>
        </w:rPr>
        <w:t>＜</w:t>
      </w:r>
      <w:r>
        <w:rPr>
          <w:rFonts w:ascii="Times New Roman" w:hAnsi="Times New Roman"/>
          <w:sz w:val="24"/>
        </w:rPr>
        <w:t>0.05</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见表2。</w:t>
      </w:r>
    </w:p>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表2</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两组</w:t>
      </w:r>
      <w:r>
        <w:rPr>
          <w:rFonts w:hint="eastAsia" w:ascii="宋体" w:hAnsi="宋体" w:eastAsia="宋体" w:cs="宋体"/>
          <w:b w:val="0"/>
          <w:bCs w:val="0"/>
          <w:color w:val="auto"/>
          <w:sz w:val="24"/>
          <w:szCs w:val="24"/>
          <w:highlight w:val="none"/>
        </w:rPr>
        <w:t>NIHSS、GCS、mRS评分比较</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eastAsia="zh-CN"/>
        </w:rPr>
        <w:t>，</w:t>
      </w:r>
      <w:r>
        <w:rPr>
          <w:rFonts w:ascii="Times New Roman" w:hAnsi="Times New Roman"/>
          <w:sz w:val="24"/>
        </w:rPr>
        <w:object>
          <v:shape id="_x0000_i1026" o:spt="75" type="#_x0000_t75" style="height:14.75pt;width:22.55pt;" o:ole="t" filled="f" o:preferrelative="t" stroked="f" coordsize="21600,21600">
            <v:path/>
            <v:fill on="f" focussize="0,0"/>
            <v:stroke on="f"/>
            <v:imagedata r:id="rId5" o:title=""/>
            <o:lock v:ext="edit" aspectratio="t"/>
            <w10:wrap type="none"/>
            <w10:anchorlock/>
          </v:shape>
          <o:OLEObject Type="Embed" ProgID="Equation.KSEE3" ShapeID="_x0000_i1026" DrawAspect="Content" ObjectID="_1468075726" r:id="rId6">
            <o:LockedField>false</o:LockedField>
          </o:OLEObject>
        </w:object>
      </w:r>
      <w:r>
        <w:rPr>
          <w:rFonts w:hint="eastAsia" w:ascii="宋体" w:hAnsi="宋体" w:eastAsia="宋体" w:cs="宋体"/>
          <w:b w:val="0"/>
          <w:bCs w:val="0"/>
          <w:color w:val="auto"/>
          <w:sz w:val="24"/>
          <w:szCs w:val="24"/>
          <w:highlight w:val="none"/>
          <w:lang w:eastAsia="zh-CN"/>
        </w:rPr>
        <w:t>）</w:t>
      </w:r>
    </w:p>
    <w:tbl>
      <w:tblPr>
        <w:tblStyle w:val="6"/>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704" w:type="dxa"/>
            <w:tcBorders>
              <w:tl2br w:val="nil"/>
              <w:tr2bl w:val="nil"/>
            </w:tcBorders>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时间</w:t>
            </w:r>
          </w:p>
        </w:tc>
        <w:tc>
          <w:tcPr>
            <w:tcW w:w="1704" w:type="dxa"/>
            <w:tcBorders>
              <w:tl2br w:val="nil"/>
              <w:tr2bl w:val="nil"/>
            </w:tcBorders>
          </w:tcPr>
          <w:p>
            <w:pPr>
              <w:spacing w:line="360" w:lineRule="auto"/>
              <w:ind w:firstLine="120" w:firstLineChars="5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组别</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i/>
                <w:iCs/>
                <w:color w:val="auto"/>
                <w:sz w:val="24"/>
                <w:szCs w:val="24"/>
                <w:highlight w:val="none"/>
              </w:rPr>
              <w:t>n</w:t>
            </w:r>
          </w:p>
        </w:tc>
        <w:tc>
          <w:tcPr>
            <w:tcW w:w="1704" w:type="dxa"/>
            <w:tcBorders>
              <w:tl2br w:val="nil"/>
              <w:tr2bl w:val="nil"/>
            </w:tcBorders>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NIHSS</w:t>
            </w:r>
          </w:p>
        </w:tc>
        <w:tc>
          <w:tcPr>
            <w:tcW w:w="1705" w:type="dxa"/>
            <w:tcBorders>
              <w:tl2br w:val="nil"/>
              <w:tr2bl w:val="nil"/>
            </w:tcBorders>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GCS</w:t>
            </w:r>
          </w:p>
        </w:tc>
        <w:tc>
          <w:tcPr>
            <w:tcW w:w="1705" w:type="dxa"/>
            <w:tcBorders>
              <w:tl2br w:val="nil"/>
              <w:tr2bl w:val="nil"/>
            </w:tcBorders>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mRS</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704" w:type="dxa"/>
            <w:vMerge w:val="restart"/>
            <w:tcBorders>
              <w:tl2br w:val="nil"/>
              <w:tr2bl w:val="nil"/>
            </w:tcBorders>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治疗前1</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d</w:t>
            </w:r>
          </w:p>
        </w:tc>
        <w:tc>
          <w:tcPr>
            <w:tcW w:w="1704" w:type="dxa"/>
            <w:tcBorders>
              <w:bottom w:val="nil"/>
              <w:tl2br w:val="nil"/>
              <w:tr2bl w:val="nil"/>
            </w:tcBorders>
          </w:tcPr>
          <w:p>
            <w:pPr>
              <w:spacing w:line="360"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对照组</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20</w:t>
            </w:r>
          </w:p>
        </w:tc>
        <w:tc>
          <w:tcPr>
            <w:tcW w:w="1704" w:type="dxa"/>
            <w:tcBorders>
              <w:bottom w:val="nil"/>
              <w:tl2br w:val="nil"/>
              <w:tr2bl w:val="nil"/>
            </w:tcBorders>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18.11±2.69</w:t>
            </w:r>
          </w:p>
        </w:tc>
        <w:tc>
          <w:tcPr>
            <w:tcW w:w="1705" w:type="dxa"/>
            <w:tcBorders>
              <w:bottom w:val="nil"/>
              <w:tl2br w:val="nil"/>
              <w:tr2bl w:val="nil"/>
            </w:tcBorders>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6.26±1.15</w:t>
            </w:r>
          </w:p>
        </w:tc>
        <w:tc>
          <w:tcPr>
            <w:tcW w:w="1705" w:type="dxa"/>
            <w:tcBorders>
              <w:bottom w:val="nil"/>
              <w:tl2br w:val="nil"/>
              <w:tr2bl w:val="nil"/>
            </w:tcBorders>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2.77±0.69</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704" w:type="dxa"/>
            <w:vMerge w:val="continue"/>
            <w:tcBorders>
              <w:bottom w:val="nil"/>
            </w:tcBorders>
          </w:tcPr>
          <w:p>
            <w:pPr>
              <w:spacing w:line="360" w:lineRule="auto"/>
              <w:jc w:val="center"/>
              <w:rPr>
                <w:rFonts w:hint="eastAsia" w:ascii="宋体" w:hAnsi="宋体" w:eastAsia="宋体" w:cs="宋体"/>
                <w:color w:val="auto"/>
                <w:sz w:val="24"/>
                <w:szCs w:val="24"/>
                <w:highlight w:val="none"/>
              </w:rPr>
            </w:pPr>
          </w:p>
        </w:tc>
        <w:tc>
          <w:tcPr>
            <w:tcW w:w="1704" w:type="dxa"/>
            <w:tcBorders>
              <w:top w:val="nil"/>
              <w:bottom w:val="nil"/>
            </w:tcBorders>
          </w:tcPr>
          <w:p>
            <w:pPr>
              <w:spacing w:line="360"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观察组</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20</w:t>
            </w:r>
          </w:p>
        </w:tc>
        <w:tc>
          <w:tcPr>
            <w:tcW w:w="1704" w:type="dxa"/>
            <w:tcBorders>
              <w:top w:val="nil"/>
              <w:bottom w:val="nil"/>
            </w:tcBorders>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18.26±2.76</w:t>
            </w:r>
          </w:p>
        </w:tc>
        <w:tc>
          <w:tcPr>
            <w:tcW w:w="1705" w:type="dxa"/>
            <w:tcBorders>
              <w:top w:val="nil"/>
              <w:bottom w:val="nil"/>
            </w:tcBorders>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6.34±1.21</w:t>
            </w:r>
          </w:p>
        </w:tc>
        <w:tc>
          <w:tcPr>
            <w:tcW w:w="1705" w:type="dxa"/>
            <w:tcBorders>
              <w:top w:val="nil"/>
              <w:bottom w:val="nil"/>
            </w:tcBorders>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2.81±0.71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PrEx>
        <w:tc>
          <w:tcPr>
            <w:tcW w:w="3408" w:type="dxa"/>
            <w:gridSpan w:val="2"/>
            <w:tcBorders>
              <w:top w:val="nil"/>
              <w:bottom w:val="nil"/>
            </w:tcBorders>
          </w:tcPr>
          <w:p>
            <w:pPr>
              <w:spacing w:line="360" w:lineRule="auto"/>
              <w:jc w:val="center"/>
              <w:rPr>
                <w:rFonts w:hint="eastAsia" w:ascii="宋体" w:hAnsi="宋体" w:eastAsia="宋体" w:cs="宋体"/>
                <w:i/>
                <w:iCs/>
                <w:color w:val="auto"/>
                <w:sz w:val="24"/>
                <w:szCs w:val="24"/>
                <w:highlight w:val="none"/>
              </w:rPr>
            </w:pPr>
            <w:r>
              <w:rPr>
                <w:rFonts w:hint="eastAsia" w:ascii="宋体" w:hAnsi="宋体" w:eastAsia="宋体" w:cs="宋体"/>
                <w:i/>
                <w:iCs/>
                <w:color w:val="auto"/>
                <w:sz w:val="24"/>
                <w:szCs w:val="24"/>
                <w:highlight w:val="none"/>
                <w:lang w:val="en-US" w:eastAsia="zh-CN"/>
              </w:rPr>
              <w:t xml:space="preserve">   </w:t>
            </w:r>
            <w:r>
              <w:rPr>
                <w:rFonts w:hint="eastAsia" w:ascii="宋体" w:hAnsi="宋体" w:eastAsia="宋体" w:cs="宋体"/>
                <w:i/>
                <w:iCs/>
                <w:color w:val="auto"/>
                <w:sz w:val="24"/>
                <w:szCs w:val="24"/>
                <w:highlight w:val="none"/>
              </w:rPr>
              <w:t>t</w:t>
            </w:r>
          </w:p>
        </w:tc>
        <w:tc>
          <w:tcPr>
            <w:tcW w:w="1704" w:type="dxa"/>
            <w:tcBorders>
              <w:top w:val="nil"/>
              <w:bottom w:val="nil"/>
            </w:tcBorders>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0.174</w:t>
            </w:r>
          </w:p>
        </w:tc>
        <w:tc>
          <w:tcPr>
            <w:tcW w:w="1705" w:type="dxa"/>
            <w:tcBorders>
              <w:top w:val="nil"/>
              <w:bottom w:val="nil"/>
            </w:tcBorders>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0.214</w:t>
            </w:r>
          </w:p>
        </w:tc>
        <w:tc>
          <w:tcPr>
            <w:tcW w:w="1705" w:type="dxa"/>
            <w:tcBorders>
              <w:top w:val="nil"/>
              <w:bottom w:val="nil"/>
            </w:tcBorders>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0.180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3408" w:type="dxa"/>
            <w:gridSpan w:val="2"/>
            <w:tcBorders>
              <w:top w:val="nil"/>
              <w:bottom w:val="nil"/>
            </w:tcBorders>
          </w:tcPr>
          <w:p>
            <w:pPr>
              <w:spacing w:line="360" w:lineRule="auto"/>
              <w:jc w:val="center"/>
              <w:rPr>
                <w:rFonts w:hint="eastAsia" w:ascii="宋体" w:hAnsi="宋体" w:eastAsia="宋体" w:cs="宋体"/>
                <w:i/>
                <w:iCs/>
                <w:color w:val="auto"/>
                <w:sz w:val="24"/>
                <w:szCs w:val="24"/>
                <w:highlight w:val="none"/>
              </w:rPr>
            </w:pPr>
            <w:r>
              <w:rPr>
                <w:rFonts w:hint="eastAsia" w:ascii="宋体" w:hAnsi="宋体" w:eastAsia="宋体" w:cs="宋体"/>
                <w:i/>
                <w:iCs/>
                <w:color w:val="auto"/>
                <w:sz w:val="24"/>
                <w:szCs w:val="24"/>
                <w:highlight w:val="none"/>
                <w:lang w:val="en-US" w:eastAsia="zh-CN"/>
              </w:rPr>
              <w:t xml:space="preserve">   </w:t>
            </w:r>
            <w:r>
              <w:rPr>
                <w:rFonts w:hint="eastAsia" w:ascii="宋体" w:hAnsi="宋体" w:eastAsia="宋体" w:cs="宋体"/>
                <w:i/>
                <w:iCs/>
                <w:color w:val="auto"/>
                <w:sz w:val="24"/>
                <w:szCs w:val="24"/>
                <w:highlight w:val="none"/>
              </w:rPr>
              <w:t>P</w:t>
            </w:r>
          </w:p>
        </w:tc>
        <w:tc>
          <w:tcPr>
            <w:tcW w:w="1704" w:type="dxa"/>
            <w:tcBorders>
              <w:top w:val="nil"/>
              <w:bottom w:val="nil"/>
            </w:tcBorders>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0.862</w:t>
            </w:r>
          </w:p>
        </w:tc>
        <w:tc>
          <w:tcPr>
            <w:tcW w:w="1705" w:type="dxa"/>
            <w:tcBorders>
              <w:top w:val="nil"/>
              <w:bottom w:val="nil"/>
            </w:tcBorders>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0.831</w:t>
            </w:r>
          </w:p>
        </w:tc>
        <w:tc>
          <w:tcPr>
            <w:tcW w:w="1705" w:type="dxa"/>
            <w:tcBorders>
              <w:top w:val="nil"/>
              <w:bottom w:val="nil"/>
            </w:tcBorders>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0.857</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704" w:type="dxa"/>
            <w:vMerge w:val="restart"/>
            <w:tcBorders>
              <w:top w:val="nil"/>
            </w:tcBorders>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治疗后1个月</w:t>
            </w:r>
          </w:p>
        </w:tc>
        <w:tc>
          <w:tcPr>
            <w:tcW w:w="1704" w:type="dxa"/>
            <w:tcBorders>
              <w:top w:val="nil"/>
              <w:bottom w:val="nil"/>
            </w:tcBorders>
          </w:tcPr>
          <w:p>
            <w:pPr>
              <w:spacing w:line="360"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对照组</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20</w:t>
            </w:r>
          </w:p>
        </w:tc>
        <w:tc>
          <w:tcPr>
            <w:tcW w:w="1704" w:type="dxa"/>
            <w:tcBorders>
              <w:top w:val="nil"/>
              <w:bottom w:val="nil"/>
            </w:tcBorders>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12.88±2.01</w:t>
            </w:r>
          </w:p>
        </w:tc>
        <w:tc>
          <w:tcPr>
            <w:tcW w:w="1705" w:type="dxa"/>
            <w:tcBorders>
              <w:top w:val="nil"/>
              <w:bottom w:val="nil"/>
            </w:tcBorders>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8.32±1.33</w:t>
            </w:r>
          </w:p>
        </w:tc>
        <w:tc>
          <w:tcPr>
            <w:tcW w:w="1705" w:type="dxa"/>
            <w:tcBorders>
              <w:top w:val="nil"/>
              <w:bottom w:val="nil"/>
            </w:tcBorders>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2.33±0.55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704" w:type="dxa"/>
            <w:vMerge w:val="continue"/>
            <w:tcBorders>
              <w:bottom w:val="nil"/>
            </w:tcBorders>
          </w:tcPr>
          <w:p>
            <w:pPr>
              <w:spacing w:line="360" w:lineRule="auto"/>
              <w:jc w:val="center"/>
              <w:rPr>
                <w:rFonts w:hint="eastAsia" w:ascii="宋体" w:hAnsi="宋体" w:eastAsia="宋体" w:cs="宋体"/>
                <w:color w:val="auto"/>
                <w:sz w:val="24"/>
                <w:szCs w:val="24"/>
                <w:highlight w:val="none"/>
              </w:rPr>
            </w:pPr>
          </w:p>
        </w:tc>
        <w:tc>
          <w:tcPr>
            <w:tcW w:w="1704" w:type="dxa"/>
            <w:tcBorders>
              <w:top w:val="nil"/>
              <w:bottom w:val="nil"/>
            </w:tcBorders>
          </w:tcPr>
          <w:p>
            <w:pPr>
              <w:spacing w:line="360"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观察组</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20</w:t>
            </w:r>
          </w:p>
        </w:tc>
        <w:tc>
          <w:tcPr>
            <w:tcW w:w="1704" w:type="dxa"/>
            <w:tcBorders>
              <w:top w:val="nil"/>
              <w:bottom w:val="nil"/>
            </w:tcBorders>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9.31±1.26</w:t>
            </w:r>
          </w:p>
        </w:tc>
        <w:tc>
          <w:tcPr>
            <w:tcW w:w="1705" w:type="dxa"/>
            <w:tcBorders>
              <w:top w:val="nil"/>
              <w:bottom w:val="nil"/>
            </w:tcBorders>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11.12±1.45</w:t>
            </w:r>
          </w:p>
        </w:tc>
        <w:tc>
          <w:tcPr>
            <w:tcW w:w="1705" w:type="dxa"/>
            <w:tcBorders>
              <w:top w:val="nil"/>
              <w:bottom w:val="nil"/>
            </w:tcBorders>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1.43±0.24</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PrEx>
        <w:tc>
          <w:tcPr>
            <w:tcW w:w="3408" w:type="dxa"/>
            <w:gridSpan w:val="2"/>
            <w:tcBorders>
              <w:top w:val="nil"/>
              <w:bottom w:val="nil"/>
            </w:tcBorders>
          </w:tcPr>
          <w:p>
            <w:pPr>
              <w:spacing w:line="360" w:lineRule="auto"/>
              <w:jc w:val="center"/>
              <w:rPr>
                <w:rFonts w:hint="eastAsia" w:ascii="宋体" w:hAnsi="宋体" w:eastAsia="宋体" w:cs="宋体"/>
                <w:i/>
                <w:iCs/>
                <w:color w:val="auto"/>
                <w:sz w:val="24"/>
                <w:szCs w:val="24"/>
                <w:highlight w:val="none"/>
              </w:rPr>
            </w:pPr>
            <w:r>
              <w:rPr>
                <w:rFonts w:hint="eastAsia" w:ascii="宋体" w:hAnsi="宋体" w:eastAsia="宋体" w:cs="宋体"/>
                <w:i/>
                <w:iCs/>
                <w:color w:val="auto"/>
                <w:sz w:val="24"/>
                <w:szCs w:val="24"/>
                <w:highlight w:val="none"/>
                <w:lang w:val="en-US" w:eastAsia="zh-CN"/>
              </w:rPr>
              <w:t xml:space="preserve">  </w:t>
            </w:r>
            <w:r>
              <w:rPr>
                <w:rFonts w:hint="eastAsia" w:ascii="宋体" w:hAnsi="宋体" w:eastAsia="宋体" w:cs="宋体"/>
                <w:i/>
                <w:iCs/>
                <w:color w:val="auto"/>
                <w:sz w:val="24"/>
                <w:szCs w:val="24"/>
                <w:highlight w:val="none"/>
              </w:rPr>
              <w:t>t</w:t>
            </w:r>
          </w:p>
        </w:tc>
        <w:tc>
          <w:tcPr>
            <w:tcW w:w="1704" w:type="dxa"/>
            <w:tcBorders>
              <w:top w:val="nil"/>
              <w:bottom w:val="nil"/>
            </w:tcBorders>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6.730</w:t>
            </w:r>
          </w:p>
        </w:tc>
        <w:tc>
          <w:tcPr>
            <w:tcW w:w="1705" w:type="dxa"/>
            <w:tcBorders>
              <w:top w:val="nil"/>
              <w:bottom w:val="nil"/>
            </w:tcBorders>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6.364</w:t>
            </w:r>
          </w:p>
        </w:tc>
        <w:tc>
          <w:tcPr>
            <w:tcW w:w="1705" w:type="dxa"/>
            <w:tcBorders>
              <w:top w:val="nil"/>
              <w:bottom w:val="nil"/>
            </w:tcBorders>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6.707</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3408" w:type="dxa"/>
            <w:gridSpan w:val="2"/>
            <w:tcBorders>
              <w:top w:val="nil"/>
              <w:tl2br w:val="nil"/>
              <w:tr2bl w:val="nil"/>
            </w:tcBorders>
          </w:tcPr>
          <w:p>
            <w:pPr>
              <w:spacing w:line="360" w:lineRule="auto"/>
              <w:jc w:val="center"/>
              <w:rPr>
                <w:rFonts w:hint="eastAsia" w:ascii="宋体" w:hAnsi="宋体" w:eastAsia="宋体" w:cs="宋体"/>
                <w:i/>
                <w:iCs/>
                <w:color w:val="auto"/>
                <w:sz w:val="24"/>
                <w:szCs w:val="24"/>
                <w:highlight w:val="none"/>
              </w:rPr>
            </w:pPr>
            <w:r>
              <w:rPr>
                <w:rFonts w:hint="eastAsia" w:ascii="宋体" w:hAnsi="宋体" w:eastAsia="宋体" w:cs="宋体"/>
                <w:i/>
                <w:iCs/>
                <w:color w:val="auto"/>
                <w:sz w:val="24"/>
                <w:szCs w:val="24"/>
                <w:highlight w:val="none"/>
                <w:lang w:val="en-US" w:eastAsia="zh-CN"/>
              </w:rPr>
              <w:t xml:space="preserve">  </w:t>
            </w:r>
            <w:r>
              <w:rPr>
                <w:rFonts w:hint="eastAsia" w:ascii="宋体" w:hAnsi="宋体" w:eastAsia="宋体" w:cs="宋体"/>
                <w:i/>
                <w:iCs/>
                <w:color w:val="auto"/>
                <w:sz w:val="24"/>
                <w:szCs w:val="24"/>
                <w:highlight w:val="none"/>
              </w:rPr>
              <w:t>P</w:t>
            </w:r>
          </w:p>
        </w:tc>
        <w:tc>
          <w:tcPr>
            <w:tcW w:w="1704" w:type="dxa"/>
            <w:tcBorders>
              <w:top w:val="nil"/>
              <w:tl2br w:val="nil"/>
              <w:tr2bl w:val="nil"/>
            </w:tcBorders>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0.000</w:t>
            </w:r>
          </w:p>
        </w:tc>
        <w:tc>
          <w:tcPr>
            <w:tcW w:w="1705" w:type="dxa"/>
            <w:tcBorders>
              <w:top w:val="nil"/>
              <w:tl2br w:val="nil"/>
              <w:tr2bl w:val="nil"/>
            </w:tcBorders>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0.000</w:t>
            </w:r>
          </w:p>
        </w:tc>
        <w:tc>
          <w:tcPr>
            <w:tcW w:w="1705" w:type="dxa"/>
            <w:tcBorders>
              <w:top w:val="nil"/>
              <w:tl2br w:val="nil"/>
              <w:tr2bl w:val="nil"/>
            </w:tcBorders>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0.000</w:t>
            </w:r>
          </w:p>
        </w:tc>
      </w:tr>
    </w:tbl>
    <w:p>
      <w:pPr>
        <w:spacing w:line="360" w:lineRule="auto"/>
        <w:rPr>
          <w:rFonts w:hint="eastAsia" w:ascii="宋体" w:hAnsi="宋体" w:eastAsia="宋体" w:cs="宋体"/>
          <w:b/>
          <w:bCs/>
          <w:color w:val="auto"/>
          <w:sz w:val="24"/>
          <w:szCs w:val="24"/>
          <w:highlight w:val="none"/>
        </w:rPr>
      </w:pPr>
    </w:p>
    <w:p>
      <w:pPr>
        <w:spacing w:line="360" w:lineRule="auto"/>
        <w:rPr>
          <w:rFonts w:hint="eastAsia" w:ascii="宋体" w:hAnsi="宋体" w:eastAsia="宋体" w:cs="宋体"/>
          <w:color w:val="auto"/>
          <w:sz w:val="24"/>
          <w:szCs w:val="24"/>
          <w:highlight w:val="none"/>
        </w:rPr>
      </w:pPr>
      <w:r>
        <w:rPr>
          <w:rFonts w:hint="eastAsia" w:ascii="宋体" w:hAnsi="宋体" w:eastAsia="宋体" w:cs="宋体"/>
          <w:b w:val="0"/>
          <w:bCs w:val="0"/>
          <w:color w:val="auto"/>
          <w:sz w:val="24"/>
          <w:szCs w:val="24"/>
          <w:highlight w:val="none"/>
        </w:rPr>
        <w:t>2.3</w:t>
      </w:r>
      <w:r>
        <w:rPr>
          <w:rFonts w:hint="eastAsia" w:ascii="宋体" w:hAnsi="宋体" w:eastAsia="宋体" w:cs="宋体"/>
          <w:b w:val="0"/>
          <w:bCs w:val="0"/>
          <w:color w:val="auto"/>
          <w:sz w:val="24"/>
          <w:szCs w:val="24"/>
          <w:highlight w:val="none"/>
          <w:lang w:val="en-US" w:eastAsia="zh-CN"/>
        </w:rPr>
        <w:t xml:space="preserve">    </w:t>
      </w:r>
      <w:r>
        <w:rPr>
          <w:rFonts w:hint="eastAsia" w:ascii="宋体" w:hAnsi="宋体" w:eastAsia="宋体" w:cs="宋体"/>
          <w:b w:val="0"/>
          <w:bCs w:val="0"/>
          <w:color w:val="auto"/>
          <w:sz w:val="24"/>
          <w:szCs w:val="24"/>
          <w:highlight w:val="none"/>
        </w:rPr>
        <w:t>两组脑血肿及脑水肿指标比较</w:t>
      </w:r>
      <w:r>
        <w:rPr>
          <w:rFonts w:hint="eastAsia" w:ascii="宋体" w:hAnsi="宋体" w:eastAsia="宋体" w:cs="宋体"/>
          <w:b w:val="0"/>
          <w:bCs w:val="0"/>
          <w:color w:val="auto"/>
          <w:sz w:val="24"/>
          <w:szCs w:val="24"/>
          <w:highlight w:val="none"/>
          <w:lang w:val="en-US" w:eastAsia="zh-CN"/>
        </w:rPr>
        <w:t xml:space="preserve">    </w:t>
      </w:r>
      <w:r>
        <w:rPr>
          <w:rFonts w:hint="eastAsia" w:ascii="宋体" w:hAnsi="宋体" w:eastAsia="宋体" w:cs="宋体"/>
          <w:color w:val="auto"/>
          <w:sz w:val="24"/>
          <w:szCs w:val="24"/>
          <w:highlight w:val="none"/>
        </w:rPr>
        <w:t>治疗前1</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d和治疗后1个月两组脑血肿体积</w:t>
      </w:r>
      <w:r>
        <w:rPr>
          <w:rFonts w:hint="eastAsia" w:ascii="宋体" w:hAnsi="宋体" w:eastAsia="宋体" w:cs="宋体"/>
          <w:b w:val="0"/>
          <w:bCs w:val="0"/>
          <w:color w:val="auto"/>
          <w:sz w:val="24"/>
          <w:szCs w:val="24"/>
          <w:highlight w:val="none"/>
        </w:rPr>
        <w:t>比较</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color w:val="auto"/>
          <w:sz w:val="24"/>
          <w:szCs w:val="24"/>
          <w:highlight w:val="none"/>
        </w:rPr>
        <w:t>差异无统计学意义（</w:t>
      </w:r>
      <w:r>
        <w:rPr>
          <w:rFonts w:ascii="Times New Roman" w:hAnsi="Times New Roman"/>
          <w:i/>
          <w:sz w:val="24"/>
        </w:rPr>
        <w:t>P</w:t>
      </w:r>
      <w:r>
        <w:rPr>
          <w:rFonts w:ascii="Times New Roman" w:hAnsi="Times New Roman"/>
          <w:sz w:val="24"/>
        </w:rPr>
        <w:t>＞0.05</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治疗前1</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d两组绝对脑水肿体积、相对脑水肿体积</w:t>
      </w:r>
      <w:r>
        <w:rPr>
          <w:rFonts w:hint="eastAsia" w:ascii="宋体" w:hAnsi="宋体" w:eastAsia="宋体" w:cs="宋体"/>
          <w:b w:val="0"/>
          <w:bCs w:val="0"/>
          <w:color w:val="auto"/>
          <w:sz w:val="24"/>
          <w:szCs w:val="24"/>
          <w:highlight w:val="none"/>
        </w:rPr>
        <w:t>比较</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color w:val="auto"/>
          <w:sz w:val="24"/>
          <w:szCs w:val="24"/>
          <w:highlight w:val="none"/>
        </w:rPr>
        <w:t>差异无统计学意义（</w:t>
      </w:r>
      <w:r>
        <w:rPr>
          <w:rFonts w:ascii="Times New Roman" w:hAnsi="Times New Roman"/>
          <w:i/>
          <w:sz w:val="24"/>
        </w:rPr>
        <w:t>P</w:t>
      </w:r>
      <w:r>
        <w:rPr>
          <w:rFonts w:ascii="Times New Roman" w:hAnsi="Times New Roman"/>
          <w:sz w:val="24"/>
        </w:rPr>
        <w:t>＞0.05</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治疗后1个月观察组绝对脑水肿体积、相对脑水肿体积均显著低于对照组（</w:t>
      </w:r>
      <w:r>
        <w:rPr>
          <w:rFonts w:ascii="Times New Roman" w:hAnsi="Times New Roman"/>
          <w:i/>
          <w:sz w:val="24"/>
        </w:rPr>
        <w:t>P</w:t>
      </w:r>
      <w:r>
        <w:rPr>
          <w:rFonts w:hint="eastAsia" w:ascii="Times New Roman" w:hAnsi="Times New Roman"/>
          <w:sz w:val="24"/>
        </w:rPr>
        <w:t>＜</w:t>
      </w:r>
      <w:r>
        <w:rPr>
          <w:rFonts w:ascii="Times New Roman" w:hAnsi="Times New Roman"/>
          <w:sz w:val="24"/>
        </w:rPr>
        <w:t>0.05</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见表3。</w:t>
      </w:r>
    </w:p>
    <w:p>
      <w:pPr>
        <w:spacing w:line="360" w:lineRule="auto"/>
        <w:jc w:val="center"/>
        <w:rPr>
          <w:rFonts w:hint="eastAsia" w:ascii="宋体" w:hAnsi="宋体" w:eastAsia="宋体" w:cs="宋体"/>
          <w:color w:val="auto"/>
          <w:sz w:val="24"/>
          <w:szCs w:val="24"/>
          <w:highlight w:val="none"/>
        </w:rPr>
      </w:pPr>
    </w:p>
    <w:p>
      <w:pPr>
        <w:spacing w:line="360" w:lineRule="auto"/>
        <w:jc w:val="center"/>
        <w:rPr>
          <w:rFonts w:hint="eastAsia" w:ascii="宋体" w:hAnsi="宋体" w:eastAsia="宋体" w:cs="宋体"/>
          <w:color w:val="auto"/>
          <w:sz w:val="24"/>
          <w:szCs w:val="24"/>
          <w:highlight w:val="none"/>
        </w:rPr>
      </w:pPr>
    </w:p>
    <w:p>
      <w:pPr>
        <w:spacing w:line="360" w:lineRule="auto"/>
        <w:jc w:val="center"/>
        <w:rPr>
          <w:rFonts w:hint="eastAsia" w:ascii="宋体" w:hAnsi="宋体" w:eastAsia="宋体" w:cs="宋体"/>
          <w:color w:val="auto"/>
          <w:sz w:val="24"/>
          <w:szCs w:val="24"/>
          <w:highlight w:val="none"/>
        </w:rPr>
      </w:pPr>
    </w:p>
    <w:p>
      <w:pPr>
        <w:spacing w:line="360" w:lineRule="auto"/>
        <w:jc w:val="center"/>
        <w:rPr>
          <w:rFonts w:hint="eastAsia" w:ascii="宋体" w:hAnsi="宋体" w:eastAsia="宋体" w:cs="宋体"/>
          <w:color w:val="auto"/>
          <w:sz w:val="24"/>
          <w:szCs w:val="24"/>
          <w:highlight w:val="none"/>
        </w:rPr>
      </w:pPr>
    </w:p>
    <w:p>
      <w:pPr>
        <w:spacing w:line="360" w:lineRule="auto"/>
        <w:jc w:val="center"/>
        <w:rPr>
          <w:rFonts w:hint="eastAsia" w:ascii="宋体" w:hAnsi="宋体" w:eastAsia="宋体" w:cs="宋体"/>
          <w:color w:val="auto"/>
          <w:sz w:val="24"/>
          <w:szCs w:val="24"/>
          <w:highlight w:val="none"/>
        </w:rPr>
      </w:pPr>
    </w:p>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表3</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b w:val="0"/>
          <w:bCs w:val="0"/>
          <w:color w:val="auto"/>
          <w:sz w:val="24"/>
          <w:szCs w:val="24"/>
          <w:highlight w:val="none"/>
        </w:rPr>
        <w:t>两组脑血肿及脑水肿指标比较</w:t>
      </w:r>
      <w:r>
        <w:rPr>
          <w:rFonts w:hint="eastAsia" w:ascii="宋体" w:hAnsi="宋体" w:eastAsia="宋体" w:cs="宋体"/>
          <w:b w:val="0"/>
          <w:bCs w:val="0"/>
          <w:color w:val="auto"/>
          <w:sz w:val="24"/>
          <w:szCs w:val="24"/>
          <w:highlight w:val="none"/>
          <w:lang w:eastAsia="zh-CN"/>
        </w:rPr>
        <w:t>（</w:t>
      </w:r>
      <w:r>
        <w:rPr>
          <w:rFonts w:hint="eastAsia" w:ascii="Times New Roman" w:hAnsi="Times New Roman"/>
          <w:sz w:val="24"/>
        </w:rPr>
        <w:t>cm</w:t>
      </w:r>
      <w:r>
        <w:rPr>
          <w:rFonts w:hint="eastAsia" w:ascii="Times New Roman" w:hAnsi="Times New Roman"/>
          <w:sz w:val="24"/>
          <w:vertAlign w:val="superscript"/>
        </w:rPr>
        <w:t>3</w:t>
      </w:r>
      <w:r>
        <w:rPr>
          <w:rFonts w:hint="eastAsia" w:ascii="宋体" w:hAnsi="宋体" w:eastAsia="宋体" w:cs="宋体"/>
          <w:color w:val="auto"/>
          <w:sz w:val="24"/>
          <w:szCs w:val="24"/>
          <w:highlight w:val="none"/>
          <w:lang w:eastAsia="zh-CN"/>
        </w:rPr>
        <w:t>，</w:t>
      </w:r>
      <w:r>
        <w:rPr>
          <w:rFonts w:ascii="Times New Roman" w:hAnsi="Times New Roman"/>
          <w:sz w:val="24"/>
        </w:rPr>
        <w:object>
          <v:shape id="_x0000_i1027" o:spt="75" type="#_x0000_t75" style="height:14.75pt;width:22.55pt;" o:ole="t" filled="f" o:preferrelative="t" stroked="f" coordsize="21600,21600">
            <v:path/>
            <v:fill on="f" focussize="0,0"/>
            <v:stroke on="f"/>
            <v:imagedata r:id="rId5" o:title=""/>
            <o:lock v:ext="edit" aspectratio="t"/>
            <w10:wrap type="none"/>
            <w10:anchorlock/>
          </v:shape>
          <o:OLEObject Type="Embed" ProgID="Equation.KSEE3" ShapeID="_x0000_i1027" DrawAspect="Content" ObjectID="_1468075727" r:id="rId7">
            <o:LockedField>false</o:LockedField>
          </o:OLEObject>
        </w:object>
      </w:r>
      <w:r>
        <w:rPr>
          <w:rFonts w:hint="eastAsia" w:ascii="宋体" w:hAnsi="宋体" w:eastAsia="宋体" w:cs="宋体"/>
          <w:b w:val="0"/>
          <w:bCs w:val="0"/>
          <w:color w:val="auto"/>
          <w:sz w:val="24"/>
          <w:szCs w:val="24"/>
          <w:highlight w:val="none"/>
          <w:lang w:eastAsia="zh-CN"/>
        </w:rPr>
        <w:t>）</w:t>
      </w:r>
    </w:p>
    <w:tbl>
      <w:tblPr>
        <w:tblStyle w:val="6"/>
        <w:tblW w:w="8871"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1704"/>
        <w:gridCol w:w="1585"/>
        <w:gridCol w:w="1679"/>
        <w:gridCol w:w="1943"/>
        <w:gridCol w:w="1960"/>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704" w:type="dxa"/>
            <w:tcBorders>
              <w:tl2br w:val="nil"/>
              <w:tr2bl w:val="nil"/>
            </w:tcBorders>
          </w:tcPr>
          <w:p>
            <w:pPr>
              <w:spacing w:line="360"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时间</w:t>
            </w:r>
          </w:p>
        </w:tc>
        <w:tc>
          <w:tcPr>
            <w:tcW w:w="1585" w:type="dxa"/>
            <w:tcBorders>
              <w:tl2br w:val="nil"/>
              <w:tr2bl w:val="nil"/>
            </w:tcBorders>
          </w:tcPr>
          <w:p>
            <w:pPr>
              <w:spacing w:line="360"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组别</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i/>
                <w:iCs/>
                <w:color w:val="auto"/>
                <w:sz w:val="24"/>
                <w:szCs w:val="24"/>
                <w:highlight w:val="none"/>
              </w:rPr>
              <w:t>n</w:t>
            </w:r>
          </w:p>
        </w:tc>
        <w:tc>
          <w:tcPr>
            <w:tcW w:w="1679" w:type="dxa"/>
            <w:tcBorders>
              <w:tl2br w:val="nil"/>
              <w:tr2bl w:val="nil"/>
            </w:tcBorders>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脑血肿体积</w:t>
            </w:r>
          </w:p>
        </w:tc>
        <w:tc>
          <w:tcPr>
            <w:tcW w:w="1943" w:type="dxa"/>
            <w:tcBorders>
              <w:tl2br w:val="nil"/>
              <w:tr2bl w:val="nil"/>
            </w:tcBorders>
          </w:tcPr>
          <w:p>
            <w:pPr>
              <w:spacing w:line="360"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绝对脑水肿体积</w:t>
            </w:r>
          </w:p>
        </w:tc>
        <w:tc>
          <w:tcPr>
            <w:tcW w:w="1960" w:type="dxa"/>
            <w:tcBorders>
              <w:tl2br w:val="nil"/>
              <w:tr2bl w:val="nil"/>
            </w:tcBorders>
          </w:tcPr>
          <w:p>
            <w:pPr>
              <w:spacing w:line="360"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相对脑水肿体积</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704" w:type="dxa"/>
            <w:vMerge w:val="restart"/>
            <w:tcBorders>
              <w:tl2br w:val="nil"/>
              <w:tr2bl w:val="nil"/>
            </w:tcBorders>
          </w:tcPr>
          <w:p>
            <w:pPr>
              <w:spacing w:line="360"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治疗前1</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d</w:t>
            </w:r>
          </w:p>
        </w:tc>
        <w:tc>
          <w:tcPr>
            <w:tcW w:w="1585" w:type="dxa"/>
            <w:tcBorders>
              <w:bottom w:val="nil"/>
              <w:tl2br w:val="nil"/>
              <w:tr2bl w:val="nil"/>
            </w:tcBorders>
          </w:tcPr>
          <w:p>
            <w:pPr>
              <w:spacing w:line="360"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对照组</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20</w:t>
            </w:r>
          </w:p>
        </w:tc>
        <w:tc>
          <w:tcPr>
            <w:tcW w:w="1679" w:type="dxa"/>
            <w:tcBorders>
              <w:bottom w:val="nil"/>
              <w:tl2br w:val="nil"/>
              <w:tr2bl w:val="nil"/>
            </w:tcBorders>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23.16±8.42</w:t>
            </w:r>
          </w:p>
        </w:tc>
        <w:tc>
          <w:tcPr>
            <w:tcW w:w="1943" w:type="dxa"/>
            <w:tcBorders>
              <w:bottom w:val="nil"/>
              <w:tl2br w:val="nil"/>
              <w:tr2bl w:val="nil"/>
            </w:tcBorders>
          </w:tcPr>
          <w:p>
            <w:pPr>
              <w:spacing w:line="360"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30.18±11.45</w:t>
            </w:r>
          </w:p>
        </w:tc>
        <w:tc>
          <w:tcPr>
            <w:tcW w:w="1960" w:type="dxa"/>
            <w:tcBorders>
              <w:bottom w:val="nil"/>
              <w:tl2br w:val="nil"/>
              <w:tr2bl w:val="nil"/>
            </w:tcBorders>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1.66±0.71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704" w:type="dxa"/>
            <w:vMerge w:val="continue"/>
            <w:tcBorders>
              <w:bottom w:val="nil"/>
            </w:tcBorders>
          </w:tcPr>
          <w:p>
            <w:pPr>
              <w:spacing w:line="360" w:lineRule="auto"/>
              <w:jc w:val="center"/>
              <w:rPr>
                <w:rFonts w:hint="eastAsia" w:ascii="宋体" w:hAnsi="宋体" w:eastAsia="宋体" w:cs="宋体"/>
                <w:color w:val="auto"/>
                <w:sz w:val="24"/>
                <w:szCs w:val="24"/>
                <w:highlight w:val="none"/>
              </w:rPr>
            </w:pPr>
          </w:p>
        </w:tc>
        <w:tc>
          <w:tcPr>
            <w:tcW w:w="1585" w:type="dxa"/>
            <w:tcBorders>
              <w:top w:val="nil"/>
              <w:bottom w:val="nil"/>
            </w:tcBorders>
          </w:tcPr>
          <w:p>
            <w:pPr>
              <w:spacing w:line="360"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观察组</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20</w:t>
            </w:r>
          </w:p>
        </w:tc>
        <w:tc>
          <w:tcPr>
            <w:tcW w:w="1679" w:type="dxa"/>
            <w:tcBorders>
              <w:top w:val="nil"/>
              <w:bottom w:val="nil"/>
            </w:tcBorders>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23.21±8.39</w:t>
            </w:r>
          </w:p>
        </w:tc>
        <w:tc>
          <w:tcPr>
            <w:tcW w:w="1943" w:type="dxa"/>
            <w:tcBorders>
              <w:top w:val="nil"/>
              <w:bottom w:val="nil"/>
            </w:tcBorders>
          </w:tcPr>
          <w:p>
            <w:pPr>
              <w:spacing w:line="360"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30.21±11.26</w:t>
            </w:r>
          </w:p>
        </w:tc>
        <w:tc>
          <w:tcPr>
            <w:tcW w:w="1960" w:type="dxa"/>
            <w:tcBorders>
              <w:top w:val="nil"/>
              <w:bottom w:val="nil"/>
            </w:tcBorders>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1.59±0.72</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PrEx>
        <w:tc>
          <w:tcPr>
            <w:tcW w:w="3289" w:type="dxa"/>
            <w:gridSpan w:val="2"/>
            <w:tcBorders>
              <w:top w:val="nil"/>
              <w:bottom w:val="nil"/>
            </w:tcBorders>
          </w:tcPr>
          <w:p>
            <w:pPr>
              <w:spacing w:line="360" w:lineRule="auto"/>
              <w:jc w:val="center"/>
              <w:rPr>
                <w:rFonts w:hint="eastAsia" w:ascii="宋体" w:hAnsi="宋体" w:eastAsia="宋体" w:cs="宋体"/>
                <w:i/>
                <w:iCs/>
                <w:color w:val="auto"/>
                <w:sz w:val="24"/>
                <w:szCs w:val="24"/>
                <w:highlight w:val="none"/>
              </w:rPr>
            </w:pPr>
            <w:r>
              <w:rPr>
                <w:rFonts w:hint="eastAsia" w:ascii="宋体" w:hAnsi="宋体" w:eastAsia="宋体" w:cs="宋体"/>
                <w:i/>
                <w:iCs/>
                <w:color w:val="auto"/>
                <w:sz w:val="24"/>
                <w:szCs w:val="24"/>
                <w:highlight w:val="none"/>
                <w:lang w:val="en-US" w:eastAsia="zh-CN"/>
              </w:rPr>
              <w:t xml:space="preserve">     </w:t>
            </w:r>
            <w:r>
              <w:rPr>
                <w:rFonts w:hint="eastAsia" w:ascii="宋体" w:hAnsi="宋体" w:eastAsia="宋体" w:cs="宋体"/>
                <w:i/>
                <w:iCs/>
                <w:color w:val="auto"/>
                <w:sz w:val="24"/>
                <w:szCs w:val="24"/>
                <w:highlight w:val="none"/>
              </w:rPr>
              <w:t>t</w:t>
            </w:r>
          </w:p>
        </w:tc>
        <w:tc>
          <w:tcPr>
            <w:tcW w:w="1679" w:type="dxa"/>
            <w:tcBorders>
              <w:top w:val="nil"/>
              <w:bottom w:val="nil"/>
            </w:tcBorders>
          </w:tcPr>
          <w:p>
            <w:pPr>
              <w:spacing w:line="360"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0.018</w:t>
            </w:r>
          </w:p>
        </w:tc>
        <w:tc>
          <w:tcPr>
            <w:tcW w:w="1943" w:type="dxa"/>
            <w:tcBorders>
              <w:top w:val="nil"/>
              <w:bottom w:val="nil"/>
            </w:tcBorders>
          </w:tcPr>
          <w:p>
            <w:pPr>
              <w:spacing w:line="360"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0.008</w:t>
            </w:r>
          </w:p>
        </w:tc>
        <w:tc>
          <w:tcPr>
            <w:tcW w:w="1960" w:type="dxa"/>
            <w:tcBorders>
              <w:top w:val="nil"/>
              <w:bottom w:val="nil"/>
            </w:tcBorders>
          </w:tcPr>
          <w:p>
            <w:pPr>
              <w:spacing w:line="360"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0.309</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3289" w:type="dxa"/>
            <w:gridSpan w:val="2"/>
            <w:tcBorders>
              <w:top w:val="nil"/>
              <w:bottom w:val="nil"/>
            </w:tcBorders>
          </w:tcPr>
          <w:p>
            <w:pPr>
              <w:spacing w:line="360" w:lineRule="auto"/>
              <w:jc w:val="center"/>
              <w:rPr>
                <w:rFonts w:hint="eastAsia" w:ascii="宋体" w:hAnsi="宋体" w:eastAsia="宋体" w:cs="宋体"/>
                <w:i/>
                <w:iCs/>
                <w:color w:val="auto"/>
                <w:sz w:val="24"/>
                <w:szCs w:val="24"/>
                <w:highlight w:val="none"/>
              </w:rPr>
            </w:pPr>
            <w:r>
              <w:rPr>
                <w:rFonts w:hint="eastAsia" w:ascii="宋体" w:hAnsi="宋体" w:eastAsia="宋体" w:cs="宋体"/>
                <w:i/>
                <w:iCs/>
                <w:color w:val="auto"/>
                <w:sz w:val="24"/>
                <w:szCs w:val="24"/>
                <w:highlight w:val="none"/>
                <w:lang w:val="en-US" w:eastAsia="zh-CN"/>
              </w:rPr>
              <w:t xml:space="preserve">     </w:t>
            </w:r>
            <w:r>
              <w:rPr>
                <w:rFonts w:hint="eastAsia" w:ascii="宋体" w:hAnsi="宋体" w:eastAsia="宋体" w:cs="宋体"/>
                <w:i/>
                <w:iCs/>
                <w:color w:val="auto"/>
                <w:sz w:val="24"/>
                <w:szCs w:val="24"/>
                <w:highlight w:val="none"/>
              </w:rPr>
              <w:t>P</w:t>
            </w:r>
          </w:p>
        </w:tc>
        <w:tc>
          <w:tcPr>
            <w:tcW w:w="1679" w:type="dxa"/>
            <w:tcBorders>
              <w:top w:val="nil"/>
              <w:bottom w:val="nil"/>
            </w:tcBorders>
          </w:tcPr>
          <w:p>
            <w:pPr>
              <w:spacing w:line="360"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0.985</w:t>
            </w:r>
          </w:p>
        </w:tc>
        <w:tc>
          <w:tcPr>
            <w:tcW w:w="1943" w:type="dxa"/>
            <w:tcBorders>
              <w:top w:val="nil"/>
              <w:bottom w:val="nil"/>
            </w:tcBorders>
          </w:tcPr>
          <w:p>
            <w:pPr>
              <w:spacing w:line="360"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0.993</w:t>
            </w:r>
          </w:p>
        </w:tc>
        <w:tc>
          <w:tcPr>
            <w:tcW w:w="1960" w:type="dxa"/>
            <w:tcBorders>
              <w:top w:val="nil"/>
              <w:bottom w:val="nil"/>
            </w:tcBorders>
          </w:tcPr>
          <w:p>
            <w:pPr>
              <w:spacing w:line="360"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0.758</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704" w:type="dxa"/>
            <w:vMerge w:val="restart"/>
            <w:tcBorders>
              <w:top w:val="nil"/>
            </w:tcBorders>
          </w:tcPr>
          <w:p>
            <w:pPr>
              <w:spacing w:line="360"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治疗后1个月</w:t>
            </w:r>
          </w:p>
        </w:tc>
        <w:tc>
          <w:tcPr>
            <w:tcW w:w="1585" w:type="dxa"/>
            <w:tcBorders>
              <w:top w:val="nil"/>
              <w:bottom w:val="nil"/>
            </w:tcBorders>
          </w:tcPr>
          <w:p>
            <w:pPr>
              <w:spacing w:line="360"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对照组</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20</w:t>
            </w:r>
          </w:p>
        </w:tc>
        <w:tc>
          <w:tcPr>
            <w:tcW w:w="1679" w:type="dxa"/>
            <w:tcBorders>
              <w:top w:val="nil"/>
              <w:bottom w:val="nil"/>
            </w:tcBorders>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17.58±7.99</w:t>
            </w:r>
          </w:p>
        </w:tc>
        <w:tc>
          <w:tcPr>
            <w:tcW w:w="1943" w:type="dxa"/>
            <w:tcBorders>
              <w:top w:val="nil"/>
              <w:bottom w:val="nil"/>
            </w:tcBorders>
          </w:tcPr>
          <w:p>
            <w:pPr>
              <w:spacing w:line="360"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15.77±8.36</w:t>
            </w:r>
          </w:p>
        </w:tc>
        <w:tc>
          <w:tcPr>
            <w:tcW w:w="1960" w:type="dxa"/>
            <w:tcBorders>
              <w:top w:val="nil"/>
              <w:bottom w:val="nil"/>
            </w:tcBorders>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0.79±0.49</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704" w:type="dxa"/>
            <w:vMerge w:val="continue"/>
            <w:tcBorders>
              <w:bottom w:val="nil"/>
            </w:tcBorders>
          </w:tcPr>
          <w:p>
            <w:pPr>
              <w:spacing w:line="360" w:lineRule="auto"/>
              <w:jc w:val="center"/>
              <w:rPr>
                <w:rFonts w:hint="eastAsia" w:ascii="宋体" w:hAnsi="宋体" w:eastAsia="宋体" w:cs="宋体"/>
                <w:color w:val="auto"/>
                <w:sz w:val="24"/>
                <w:szCs w:val="24"/>
                <w:highlight w:val="none"/>
              </w:rPr>
            </w:pPr>
          </w:p>
        </w:tc>
        <w:tc>
          <w:tcPr>
            <w:tcW w:w="1585" w:type="dxa"/>
            <w:tcBorders>
              <w:top w:val="nil"/>
              <w:bottom w:val="nil"/>
            </w:tcBorders>
          </w:tcPr>
          <w:p>
            <w:pPr>
              <w:spacing w:line="360"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观察组</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20</w:t>
            </w:r>
          </w:p>
        </w:tc>
        <w:tc>
          <w:tcPr>
            <w:tcW w:w="1679" w:type="dxa"/>
            <w:tcBorders>
              <w:top w:val="nil"/>
              <w:bottom w:val="nil"/>
            </w:tcBorders>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16.26±7.23</w:t>
            </w:r>
          </w:p>
        </w:tc>
        <w:tc>
          <w:tcPr>
            <w:tcW w:w="1943" w:type="dxa"/>
            <w:tcBorders>
              <w:top w:val="nil"/>
              <w:bottom w:val="nil"/>
            </w:tcBorders>
          </w:tcPr>
          <w:p>
            <w:pPr>
              <w:spacing w:line="360"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10.62±6.47</w:t>
            </w:r>
          </w:p>
        </w:tc>
        <w:tc>
          <w:tcPr>
            <w:tcW w:w="1960" w:type="dxa"/>
            <w:tcBorders>
              <w:top w:val="nil"/>
              <w:bottom w:val="nil"/>
            </w:tcBorders>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0.51±0.27</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PrEx>
        <w:tc>
          <w:tcPr>
            <w:tcW w:w="3289" w:type="dxa"/>
            <w:gridSpan w:val="2"/>
            <w:tcBorders>
              <w:top w:val="nil"/>
              <w:bottom w:val="nil"/>
            </w:tcBorders>
          </w:tcPr>
          <w:p>
            <w:pPr>
              <w:spacing w:line="360" w:lineRule="auto"/>
              <w:jc w:val="center"/>
              <w:rPr>
                <w:rFonts w:hint="eastAsia" w:ascii="宋体" w:hAnsi="宋体" w:eastAsia="宋体" w:cs="宋体"/>
                <w:i/>
                <w:iCs/>
                <w:color w:val="auto"/>
                <w:sz w:val="24"/>
                <w:szCs w:val="24"/>
                <w:highlight w:val="none"/>
              </w:rPr>
            </w:pPr>
            <w:r>
              <w:rPr>
                <w:rFonts w:hint="eastAsia" w:ascii="宋体" w:hAnsi="宋体" w:eastAsia="宋体" w:cs="宋体"/>
                <w:i/>
                <w:iCs/>
                <w:color w:val="auto"/>
                <w:sz w:val="24"/>
                <w:szCs w:val="24"/>
                <w:highlight w:val="none"/>
                <w:lang w:val="en-US" w:eastAsia="zh-CN"/>
              </w:rPr>
              <w:t xml:space="preserve">     </w:t>
            </w:r>
            <w:r>
              <w:rPr>
                <w:rFonts w:hint="eastAsia" w:ascii="宋体" w:hAnsi="宋体" w:eastAsia="宋体" w:cs="宋体"/>
                <w:i/>
                <w:iCs/>
                <w:color w:val="auto"/>
                <w:sz w:val="24"/>
                <w:szCs w:val="24"/>
                <w:highlight w:val="none"/>
              </w:rPr>
              <w:t>t</w:t>
            </w:r>
          </w:p>
        </w:tc>
        <w:tc>
          <w:tcPr>
            <w:tcW w:w="1679" w:type="dxa"/>
            <w:tcBorders>
              <w:top w:val="nil"/>
              <w:bottom w:val="nil"/>
            </w:tcBorders>
          </w:tcPr>
          <w:p>
            <w:pPr>
              <w:spacing w:line="360"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0.547</w:t>
            </w:r>
          </w:p>
        </w:tc>
        <w:tc>
          <w:tcPr>
            <w:tcW w:w="1943" w:type="dxa"/>
            <w:tcBorders>
              <w:top w:val="nil"/>
              <w:bottom w:val="nil"/>
            </w:tcBorders>
          </w:tcPr>
          <w:p>
            <w:pPr>
              <w:spacing w:line="360"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2.178</w:t>
            </w:r>
          </w:p>
        </w:tc>
        <w:tc>
          <w:tcPr>
            <w:tcW w:w="1960" w:type="dxa"/>
            <w:tcBorders>
              <w:top w:val="nil"/>
              <w:bottom w:val="nil"/>
            </w:tcBorders>
          </w:tcPr>
          <w:p>
            <w:pPr>
              <w:spacing w:line="360"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2.238</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3289" w:type="dxa"/>
            <w:gridSpan w:val="2"/>
            <w:tcBorders>
              <w:top w:val="nil"/>
              <w:tl2br w:val="nil"/>
              <w:tr2bl w:val="nil"/>
            </w:tcBorders>
          </w:tcPr>
          <w:p>
            <w:pPr>
              <w:spacing w:line="360" w:lineRule="auto"/>
              <w:jc w:val="center"/>
              <w:rPr>
                <w:rFonts w:hint="eastAsia" w:ascii="宋体" w:hAnsi="宋体" w:eastAsia="宋体" w:cs="宋体"/>
                <w:i/>
                <w:iCs/>
                <w:color w:val="auto"/>
                <w:sz w:val="24"/>
                <w:szCs w:val="24"/>
                <w:highlight w:val="none"/>
              </w:rPr>
            </w:pPr>
            <w:r>
              <w:rPr>
                <w:rFonts w:hint="eastAsia" w:ascii="宋体" w:hAnsi="宋体" w:eastAsia="宋体" w:cs="宋体"/>
                <w:i/>
                <w:iCs/>
                <w:color w:val="auto"/>
                <w:sz w:val="24"/>
                <w:szCs w:val="24"/>
                <w:highlight w:val="none"/>
                <w:lang w:val="en-US" w:eastAsia="zh-CN"/>
              </w:rPr>
              <w:t xml:space="preserve">     </w:t>
            </w:r>
            <w:r>
              <w:rPr>
                <w:rFonts w:hint="eastAsia" w:ascii="宋体" w:hAnsi="宋体" w:eastAsia="宋体" w:cs="宋体"/>
                <w:i/>
                <w:iCs/>
                <w:color w:val="auto"/>
                <w:sz w:val="24"/>
                <w:szCs w:val="24"/>
                <w:highlight w:val="none"/>
              </w:rPr>
              <w:t>P</w:t>
            </w:r>
          </w:p>
        </w:tc>
        <w:tc>
          <w:tcPr>
            <w:tcW w:w="1679" w:type="dxa"/>
            <w:tcBorders>
              <w:top w:val="nil"/>
              <w:tl2br w:val="nil"/>
              <w:tr2bl w:val="nil"/>
            </w:tcBorders>
          </w:tcPr>
          <w:p>
            <w:pPr>
              <w:spacing w:line="360"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0.587</w:t>
            </w:r>
          </w:p>
        </w:tc>
        <w:tc>
          <w:tcPr>
            <w:tcW w:w="1943" w:type="dxa"/>
            <w:tcBorders>
              <w:top w:val="nil"/>
              <w:tl2br w:val="nil"/>
              <w:tr2bl w:val="nil"/>
            </w:tcBorders>
          </w:tcPr>
          <w:p>
            <w:pPr>
              <w:spacing w:line="360"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0.035</w:t>
            </w:r>
          </w:p>
        </w:tc>
        <w:tc>
          <w:tcPr>
            <w:tcW w:w="1960" w:type="dxa"/>
            <w:tcBorders>
              <w:top w:val="nil"/>
              <w:tl2br w:val="nil"/>
              <w:tr2bl w:val="nil"/>
            </w:tcBorders>
          </w:tcPr>
          <w:p>
            <w:pPr>
              <w:spacing w:line="360"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0.031</w:t>
            </w:r>
          </w:p>
        </w:tc>
      </w:tr>
    </w:tbl>
    <w:p>
      <w:pPr>
        <w:spacing w:line="360" w:lineRule="auto"/>
        <w:rPr>
          <w:rFonts w:hint="eastAsia" w:ascii="宋体" w:hAnsi="宋体" w:eastAsia="宋体" w:cs="宋体"/>
          <w:b/>
          <w:bCs/>
          <w:color w:val="auto"/>
          <w:sz w:val="24"/>
          <w:szCs w:val="24"/>
          <w:highlight w:val="none"/>
        </w:rPr>
      </w:pPr>
    </w:p>
    <w:p>
      <w:pPr>
        <w:spacing w:line="360" w:lineRule="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3</w:t>
      </w:r>
      <w:r>
        <w:rPr>
          <w:rFonts w:hint="eastAsia" w:ascii="宋体" w:hAnsi="宋体" w:eastAsia="宋体" w:cs="宋体"/>
          <w:b w:val="0"/>
          <w:bCs w:val="0"/>
          <w:color w:val="auto"/>
          <w:sz w:val="24"/>
          <w:szCs w:val="24"/>
          <w:highlight w:val="none"/>
          <w:lang w:val="en-US" w:eastAsia="zh-CN"/>
        </w:rPr>
        <w:t xml:space="preserve">    </w:t>
      </w:r>
      <w:r>
        <w:rPr>
          <w:rFonts w:hint="eastAsia" w:ascii="宋体" w:hAnsi="宋体" w:eastAsia="宋体" w:cs="宋体"/>
          <w:b w:val="0"/>
          <w:bCs w:val="0"/>
          <w:color w:val="auto"/>
          <w:sz w:val="24"/>
          <w:szCs w:val="24"/>
          <w:highlight w:val="none"/>
        </w:rPr>
        <w:t>讨论</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脑梗死、脑出血是高死亡率和致残率，低生存质量疾病。既往研究发现</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脑卒中患者发病后1</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h可发生组织早期缺血缺氧损伤及细胞毒性水肿，导致细胞肿胀及细胞死亡，MRI弥散系数（ADC）降低持续3</w:t>
      </w:r>
      <w:r>
        <w:rPr>
          <w:rFonts w:hint="eastAsia" w:ascii="Times New Roman" w:hAnsi="Times New Roman"/>
          <w:sz w:val="24"/>
          <w:vertAlign w:val="baseline"/>
        </w:rPr>
        <w:t>~</w:t>
      </w: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d，血脑屏障损伤严重，引起血管源性水肿</w:t>
      </w:r>
      <w:r>
        <w:rPr>
          <w:rFonts w:hint="eastAsia" w:ascii="宋体" w:hAnsi="宋体" w:eastAsia="宋体" w:cs="宋体"/>
          <w:color w:val="auto"/>
          <w:sz w:val="24"/>
          <w:szCs w:val="24"/>
          <w:highlight w:val="none"/>
          <w:vertAlign w:val="superscript"/>
        </w:rPr>
        <w:t>[9]</w:t>
      </w:r>
      <w:r>
        <w:rPr>
          <w:rFonts w:hint="eastAsia" w:ascii="宋体" w:hAnsi="宋体" w:eastAsia="宋体" w:cs="宋体"/>
          <w:color w:val="auto"/>
          <w:sz w:val="24"/>
          <w:szCs w:val="24"/>
          <w:highlight w:val="none"/>
        </w:rPr>
        <w:t>。由于脑卒中部位持续缺血缺氧，致使坏死范围逐渐增大，并存继发脑水肿，压迫正常脑组织，进一步加重脑水肿程度，形成恶性循环，进一步促使脑组织缺氧。因此，如何有效缓解患者脑水肿程度是当前临床治疗脑卒中，挽救神经细胞，改善神经功能，减少致残性后遗症的关键</w:t>
      </w:r>
      <w:r>
        <w:rPr>
          <w:rFonts w:hint="eastAsia" w:ascii="宋体" w:hAnsi="宋体" w:eastAsia="宋体" w:cs="宋体"/>
          <w:color w:val="auto"/>
          <w:sz w:val="24"/>
          <w:szCs w:val="24"/>
          <w:highlight w:val="none"/>
          <w:vertAlign w:val="superscript"/>
        </w:rPr>
        <w:t>[10]</w:t>
      </w:r>
      <w:r>
        <w:rPr>
          <w:rFonts w:hint="eastAsia" w:ascii="宋体" w:hAnsi="宋体" w:eastAsia="宋体" w:cs="宋体"/>
          <w:color w:val="auto"/>
          <w:sz w:val="24"/>
          <w:szCs w:val="24"/>
          <w:highlight w:val="none"/>
        </w:rPr>
        <w:t>。以往临床多采用脱水及营养神经等对症治疗，但无法解决水肿脑组织缺氧的关键问题。此外，常规脱水药物虽然可减轻脑水肿所引起的继发脑损伤，但长时间、大剂量用药，可引起相关不良反应和并发症，故疗效欠佳。高压氧是近年脑水肿治疗的新方法之一，可促进颅内血管收缩，并增加脑细胞氧供，利用气体诱导渗透原理，打破水肿与缺氧之间所形成的恶性循环，有利于减轻脑水肿损伤程度</w:t>
      </w:r>
      <w:r>
        <w:rPr>
          <w:rFonts w:ascii="Times New Roman" w:hAnsi="Times New Roman"/>
          <w:sz w:val="24"/>
          <w:vertAlign w:val="superscript"/>
        </w:rPr>
        <w:t>[</w:t>
      </w:r>
      <w:r>
        <w:rPr>
          <w:rFonts w:hint="eastAsia" w:ascii="Times New Roman" w:hAnsi="Times New Roman"/>
          <w:sz w:val="24"/>
          <w:vertAlign w:val="superscript"/>
          <w:lang w:val="en-US" w:eastAsia="zh-CN"/>
        </w:rPr>
        <w:t>11</w:t>
      </w:r>
      <w:r>
        <w:rPr>
          <w:rFonts w:hint="eastAsia" w:ascii="Times New Roman" w:hAnsi="Times New Roman"/>
          <w:sz w:val="24"/>
          <w:vertAlign w:val="superscript"/>
        </w:rPr>
        <w:t>~</w:t>
      </w:r>
      <w:r>
        <w:rPr>
          <w:rFonts w:hint="eastAsia" w:ascii="Times New Roman" w:hAnsi="Times New Roman"/>
          <w:sz w:val="24"/>
          <w:vertAlign w:val="superscript"/>
          <w:lang w:val="en-US" w:eastAsia="zh-CN"/>
        </w:rPr>
        <w:t>13</w:t>
      </w:r>
      <w:r>
        <w:rPr>
          <w:rFonts w:ascii="Times New Roman" w:hAnsi="Times New Roman"/>
          <w:sz w:val="24"/>
          <w:vertAlign w:val="superscript"/>
        </w:rPr>
        <w:t>]</w:t>
      </w:r>
      <w:r>
        <w:rPr>
          <w:rFonts w:hint="eastAsia" w:ascii="Times New Roman" w:hAnsi="Times New Roman"/>
          <w:sz w:val="24"/>
          <w:vertAlign w:val="superscript"/>
          <w:lang w:val="en-US" w:eastAsia="zh-CN"/>
        </w:rPr>
        <w:t xml:space="preserve"> </w:t>
      </w:r>
      <w:r>
        <w:rPr>
          <w:rFonts w:hint="eastAsia" w:ascii="宋体" w:hAnsi="宋体" w:eastAsia="宋体" w:cs="宋体"/>
          <w:color w:val="auto"/>
          <w:sz w:val="24"/>
          <w:szCs w:val="24"/>
          <w:highlight w:val="none"/>
        </w:rPr>
        <w:t>。</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渗透性利尿剂甘露醇的作用机制在于通过血浆高渗透压作用，达到消除水肿目的。</w:t>
      </w:r>
      <w:r>
        <w:rPr>
          <w:rFonts w:hint="eastAsia" w:ascii="宋体" w:hAnsi="宋体" w:eastAsia="宋体" w:cs="宋体"/>
          <w:color w:val="auto"/>
          <w:sz w:val="24"/>
          <w:szCs w:val="24"/>
          <w:highlight w:val="none"/>
          <w:lang w:eastAsia="zh-CN"/>
        </w:rPr>
        <w:t>有</w:t>
      </w:r>
      <w:r>
        <w:rPr>
          <w:rFonts w:hint="eastAsia" w:ascii="宋体" w:hAnsi="宋体" w:eastAsia="宋体" w:cs="宋体"/>
          <w:color w:val="auto"/>
          <w:sz w:val="24"/>
          <w:szCs w:val="24"/>
          <w:highlight w:val="none"/>
        </w:rPr>
        <w:t>研究发现，对脑出血继发脑水肿患者甘露醇静脉注射0.6</w:t>
      </w:r>
      <w:r>
        <w:rPr>
          <w:rFonts w:hint="eastAsia" w:ascii="Times New Roman" w:hAnsi="Times New Roman"/>
          <w:sz w:val="24"/>
          <w:vertAlign w:val="baseline"/>
        </w:rPr>
        <w:t>~</w:t>
      </w:r>
      <w:r>
        <w:rPr>
          <w:rFonts w:hint="eastAsia" w:ascii="宋体" w:hAnsi="宋体" w:eastAsia="宋体" w:cs="宋体"/>
          <w:color w:val="auto"/>
          <w:sz w:val="24"/>
          <w:szCs w:val="24"/>
          <w:highlight w:val="none"/>
        </w:rPr>
        <w:t>1.1</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g/kg可提高患者血浆渗透压至37</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mmol/L，促进排出脑组织水分，缓解脑水肿程度，改善氧供作用，增加血容量，有利于血管收缩，迅速降低颅内压。甘露醇对于体循环发挥促进血管扩张作用，增加血流速度，对抗利尿激素合成及分泌产生抑制作用</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但</w:t>
      </w:r>
      <w:r>
        <w:rPr>
          <w:rFonts w:hint="eastAsia" w:ascii="宋体" w:hAnsi="宋体" w:eastAsia="宋体" w:cs="宋体"/>
          <w:color w:val="auto"/>
          <w:sz w:val="24"/>
          <w:szCs w:val="24"/>
          <w:highlight w:val="none"/>
          <w:lang w:val="en-US" w:eastAsia="zh-CN"/>
        </w:rPr>
        <w:t>单用甘露醇无法获得足够满意疗效</w:t>
      </w:r>
      <w:r>
        <w:rPr>
          <w:rFonts w:ascii="Times New Roman" w:hAnsi="Times New Roman"/>
          <w:sz w:val="24"/>
          <w:vertAlign w:val="superscript"/>
        </w:rPr>
        <w:t>[</w:t>
      </w:r>
      <w:r>
        <w:rPr>
          <w:rFonts w:hint="eastAsia" w:ascii="Times New Roman" w:hAnsi="Times New Roman"/>
          <w:sz w:val="24"/>
          <w:vertAlign w:val="superscript"/>
          <w:lang w:val="en-US" w:eastAsia="zh-CN"/>
        </w:rPr>
        <w:t>14</w:t>
      </w:r>
      <w:r>
        <w:rPr>
          <w:rFonts w:hint="eastAsia" w:ascii="Times New Roman" w:hAnsi="Times New Roman"/>
          <w:sz w:val="24"/>
          <w:vertAlign w:val="superscript"/>
        </w:rPr>
        <w:t>~</w:t>
      </w:r>
      <w:r>
        <w:rPr>
          <w:rFonts w:hint="eastAsia" w:ascii="Times New Roman" w:hAnsi="Times New Roman"/>
          <w:sz w:val="24"/>
          <w:vertAlign w:val="superscript"/>
          <w:lang w:val="en-US" w:eastAsia="zh-CN"/>
        </w:rPr>
        <w:t>17</w:t>
      </w:r>
      <w:r>
        <w:rPr>
          <w:rFonts w:ascii="Times New Roman" w:hAnsi="Times New Roman"/>
          <w:sz w:val="24"/>
          <w:vertAlign w:val="superscript"/>
        </w:rPr>
        <w:t>]</w:t>
      </w:r>
      <w:r>
        <w:rPr>
          <w:rFonts w:hint="eastAsia" w:ascii="宋体" w:hAnsi="宋体" w:eastAsia="宋体" w:cs="宋体"/>
          <w:color w:val="auto"/>
          <w:sz w:val="24"/>
          <w:szCs w:val="24"/>
          <w:highlight w:val="none"/>
        </w:rPr>
        <w:t>。为弥补甘露醇的不足，本研究观察组采用甘露醇与高压氧联合治疗，结果显示观察组总有效率</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95.00%</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显著高于对照组（65.00%）。治疗后1个月</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观察组NIHSS、mRS评分均低于对照组</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GCS评分</w:t>
      </w:r>
      <w:r>
        <w:rPr>
          <w:rFonts w:hint="eastAsia" w:ascii="宋体" w:hAnsi="宋体" w:eastAsia="宋体" w:cs="宋体"/>
          <w:color w:val="auto"/>
          <w:sz w:val="24"/>
          <w:szCs w:val="24"/>
          <w:highlight w:val="none"/>
          <w:lang w:val="en-US" w:eastAsia="zh-CN"/>
        </w:rPr>
        <w:t>高于对照组；</w:t>
      </w:r>
      <w:r>
        <w:rPr>
          <w:rFonts w:hint="eastAsia" w:ascii="宋体" w:hAnsi="宋体" w:eastAsia="宋体" w:cs="宋体"/>
          <w:color w:val="auto"/>
          <w:sz w:val="24"/>
          <w:szCs w:val="24"/>
          <w:highlight w:val="none"/>
        </w:rPr>
        <w:t>且绝对脑水肿体积、相对脑水肿体积也均显著低于对照组；提示不仅缩小脑水肿体积，也显著减轻神经细胞损伤、改善神经功能</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提高了预后效果。</w:t>
      </w:r>
      <w:r>
        <w:rPr>
          <w:rFonts w:hint="eastAsia" w:ascii="宋体" w:hAnsi="宋体" w:eastAsia="宋体" w:cs="宋体"/>
          <w:color w:val="auto"/>
          <w:sz w:val="24"/>
          <w:szCs w:val="24"/>
          <w:highlight w:val="none"/>
          <w:lang w:eastAsia="zh-CN"/>
        </w:rPr>
        <w:t>分析</w:t>
      </w:r>
      <w:r>
        <w:rPr>
          <w:rFonts w:hint="eastAsia" w:ascii="宋体" w:hAnsi="宋体" w:eastAsia="宋体" w:cs="宋体"/>
          <w:color w:val="auto"/>
          <w:sz w:val="24"/>
          <w:szCs w:val="24"/>
          <w:highlight w:val="none"/>
        </w:rPr>
        <w:t>原因可能是高压氧促进动脉血氧浓度迅速升高，提高水肿部位氧分压，改善脑水肿组织氧供状态。高压氧治疗对脑血管收缩具有促进作用，降低毛细血管通透性，减轻水肿程度。高压氧也促进脑组织内氧气弥散而改善水肿的脑组织供氧，促进患者神经功能改善</w:t>
      </w:r>
      <w:r>
        <w:rPr>
          <w:rFonts w:ascii="Times New Roman" w:hAnsi="Times New Roman"/>
          <w:sz w:val="24"/>
          <w:vertAlign w:val="superscript"/>
        </w:rPr>
        <w:t>[</w:t>
      </w:r>
      <w:r>
        <w:rPr>
          <w:rFonts w:hint="eastAsia" w:ascii="Times New Roman" w:hAnsi="Times New Roman"/>
          <w:sz w:val="24"/>
          <w:vertAlign w:val="superscript"/>
          <w:lang w:val="en-US" w:eastAsia="zh-CN"/>
        </w:rPr>
        <w:t>18</w:t>
      </w:r>
      <w:r>
        <w:rPr>
          <w:rFonts w:hint="eastAsia" w:ascii="Times New Roman" w:hAnsi="Times New Roman"/>
          <w:sz w:val="24"/>
          <w:vertAlign w:val="superscript"/>
        </w:rPr>
        <w:t>~</w:t>
      </w:r>
      <w:r>
        <w:rPr>
          <w:rFonts w:hint="eastAsia" w:ascii="Times New Roman" w:hAnsi="Times New Roman"/>
          <w:sz w:val="24"/>
          <w:vertAlign w:val="superscript"/>
          <w:lang w:val="en-US" w:eastAsia="zh-CN"/>
        </w:rPr>
        <w:t>20</w:t>
      </w:r>
      <w:r>
        <w:rPr>
          <w:rFonts w:ascii="Times New Roman" w:hAnsi="Times New Roman"/>
          <w:sz w:val="24"/>
          <w:vertAlign w:val="superscript"/>
        </w:rPr>
        <w:t>]</w:t>
      </w:r>
      <w:r>
        <w:rPr>
          <w:rFonts w:hint="eastAsia" w:ascii="宋体" w:hAnsi="宋体" w:eastAsia="宋体" w:cs="宋体"/>
          <w:color w:val="auto"/>
          <w:sz w:val="24"/>
          <w:szCs w:val="24"/>
          <w:highlight w:val="none"/>
        </w:rPr>
        <w:t>。此外，高压氧还可促进</w:t>
      </w:r>
      <w:r>
        <w:rPr>
          <w:szCs w:val="21"/>
        </w:rPr>
        <w:t>α</w:t>
      </w:r>
      <w:r>
        <w:rPr>
          <w:rFonts w:hint="eastAsia"/>
          <w:szCs w:val="21"/>
          <w:lang w:val="en-US" w:eastAsia="zh-CN"/>
        </w:rPr>
        <w:t>-</w:t>
      </w:r>
      <w:r>
        <w:rPr>
          <w:rFonts w:hint="eastAsia" w:ascii="宋体" w:hAnsi="宋体" w:eastAsia="宋体" w:cs="宋体"/>
          <w:color w:val="auto"/>
          <w:sz w:val="24"/>
          <w:szCs w:val="24"/>
          <w:highlight w:val="none"/>
        </w:rPr>
        <w:t>肾上腺素的收缩血管作用，减少颅内血流总量，进一步减轻脑水肿程度</w:t>
      </w:r>
      <w:r>
        <w:rPr>
          <w:rFonts w:ascii="Times New Roman" w:hAnsi="Times New Roman"/>
          <w:sz w:val="24"/>
          <w:vertAlign w:val="superscript"/>
        </w:rPr>
        <w:t>[</w:t>
      </w:r>
      <w:r>
        <w:rPr>
          <w:rFonts w:hint="eastAsia" w:ascii="Times New Roman" w:hAnsi="Times New Roman"/>
          <w:sz w:val="24"/>
          <w:vertAlign w:val="superscript"/>
          <w:lang w:val="en-US" w:eastAsia="zh-CN"/>
        </w:rPr>
        <w:t>21</w:t>
      </w:r>
      <w:r>
        <w:rPr>
          <w:rFonts w:hint="eastAsia" w:ascii="Times New Roman" w:hAnsi="Times New Roman"/>
          <w:sz w:val="24"/>
          <w:vertAlign w:val="superscript"/>
        </w:rPr>
        <w:t>~</w:t>
      </w:r>
      <w:r>
        <w:rPr>
          <w:rFonts w:hint="eastAsia" w:ascii="Times New Roman" w:hAnsi="Times New Roman"/>
          <w:sz w:val="24"/>
          <w:vertAlign w:val="superscript"/>
          <w:lang w:val="en-US" w:eastAsia="zh-CN"/>
        </w:rPr>
        <w:t>23</w:t>
      </w:r>
      <w:r>
        <w:rPr>
          <w:rFonts w:ascii="Times New Roman" w:hAnsi="Times New Roman"/>
          <w:sz w:val="24"/>
          <w:vertAlign w:val="superscript"/>
        </w:rPr>
        <w:t>]</w:t>
      </w:r>
      <w:r>
        <w:rPr>
          <w:rFonts w:hint="eastAsia" w:ascii="宋体" w:hAnsi="宋体" w:eastAsia="宋体" w:cs="宋体"/>
          <w:color w:val="auto"/>
          <w:sz w:val="24"/>
          <w:szCs w:val="24"/>
          <w:highlight w:val="none"/>
        </w:rPr>
        <w:t>。</w:t>
      </w:r>
    </w:p>
    <w:p>
      <w:p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综上所述，甘露醇联合高压氧治疗脑水肿，不仅可减轻水肿程度，也保护神经细胞，促进患者神经功能改善，故有利于患者预后的改善。</w:t>
      </w:r>
    </w:p>
    <w:p>
      <w:pPr>
        <w:spacing w:line="360" w:lineRule="auto"/>
        <w:ind w:firstLine="481" w:firstLineChars="20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参考文献</w:t>
      </w:r>
    </w:p>
    <w:p>
      <w:pPr>
        <w:spacing w:line="360" w:lineRule="auto"/>
        <w:ind w:left="218" w:leftChars="0" w:hanging="218" w:hangingChars="9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[1]吴松</w:t>
      </w:r>
      <w:r>
        <w:rPr>
          <w:rFonts w:hint="default" w:ascii="宋体" w:hAnsi="宋体" w:eastAsia="宋体" w:cs="宋体"/>
          <w:color w:val="auto"/>
          <w:sz w:val="24"/>
          <w:szCs w:val="24"/>
          <w:highlight w:val="none"/>
          <w:lang w:val="en"/>
        </w:rPr>
        <w:t>,</w:t>
      </w:r>
      <w:r>
        <w:rPr>
          <w:rFonts w:hint="eastAsia" w:ascii="宋体" w:hAnsi="宋体" w:eastAsia="宋体" w:cs="宋体"/>
          <w:color w:val="auto"/>
          <w:sz w:val="24"/>
          <w:szCs w:val="24"/>
          <w:highlight w:val="none"/>
        </w:rPr>
        <w:t>陈小鑫,钱水清,等.甘油果糖与奥拉西坦联合治疗对糖尿病并发脑出血后脑水肿患者神经功能恢复和不良反应的影响[J].中外医学研究,2022,20(03):18-22.</w:t>
      </w:r>
    </w:p>
    <w:p>
      <w:pPr>
        <w:spacing w:line="360" w:lineRule="auto"/>
        <w:ind w:left="218" w:leftChars="0" w:hanging="218" w:hangingChars="9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[2]权瑜,王举波,程格庆,等.不同介入时间和不同疗程高压氧治疗对脑出血模型大鼠动物学行为及促血管新生因子表达的影响[J].现代生物医学进展,2021,21(21):4045-4050.</w:t>
      </w:r>
    </w:p>
    <w:p>
      <w:pPr>
        <w:spacing w:line="360" w:lineRule="auto"/>
        <w:ind w:left="218" w:leftChars="0" w:hanging="218" w:hangingChars="9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[3]林建宇,郭海杰.吡拉西坦与甘露醇二联疗法对脑出血脑水肿患者C反应蛋白、白细胞介素-8、神经元特异性烯醇化酶、症状改善及不良反应的影响[J].中国药物经济学,2021,16(09):103-106.</w:t>
      </w:r>
    </w:p>
    <w:p>
      <w:pPr>
        <w:spacing w:line="360" w:lineRule="auto"/>
        <w:ind w:left="218" w:leftChars="0" w:hanging="218" w:hangingChars="9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[4]潘强,朱琳,高勇,等.高压氧联合水通道蛋白-4基因沉默对脑外伤大鼠认知障碍改善作用及其机制[J].中华行为医学与脑科学杂志,2021,30(08):686-693.</w:t>
      </w:r>
    </w:p>
    <w:p>
      <w:pPr>
        <w:spacing w:line="360" w:lineRule="auto"/>
        <w:ind w:left="218" w:leftChars="0" w:hanging="218" w:hangingChars="9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[5]余学来,彭钢,年福甲.高压氧综合治疗外伤性Labbe静脉受损引起恶性脑水肿一例并文献复习[J].中华航海医学与高气压医学杂志,2021,28(03):413-415.</w:t>
      </w:r>
    </w:p>
    <w:p>
      <w:pPr>
        <w:spacing w:line="360" w:lineRule="auto"/>
        <w:ind w:left="218" w:leftChars="0" w:hanging="218" w:hangingChars="9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[6]韩怀彬,谢燕山,魏文鹏.丁苯酞对老年微创术后氧化应激因子、P物质和血小板反应蛋白2的影响[J].中国临床医生杂志,2021,49(01):69-72.</w:t>
      </w:r>
    </w:p>
    <w:p>
      <w:pPr>
        <w:spacing w:line="360" w:lineRule="auto"/>
        <w:ind w:left="218" w:leftChars="0" w:hanging="218" w:hangingChars="91"/>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]中华医学会神经病学分会</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中华医学会神经病学分会脑血管病学组.中国脑出血诊治指南</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2014</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[J].中华神经科杂志,2015,48(6):435-444</w:t>
      </w:r>
      <w:r>
        <w:rPr>
          <w:rFonts w:hint="eastAsia" w:ascii="宋体" w:hAnsi="宋体" w:eastAsia="宋体" w:cs="宋体"/>
          <w:color w:val="auto"/>
          <w:sz w:val="24"/>
          <w:szCs w:val="24"/>
          <w:highlight w:val="none"/>
          <w:lang w:val="en-US" w:eastAsia="zh-CN"/>
        </w:rPr>
        <w:t>.</w:t>
      </w:r>
    </w:p>
    <w:p>
      <w:pPr>
        <w:spacing w:line="360" w:lineRule="auto"/>
        <w:ind w:left="218" w:leftChars="0" w:hanging="218" w:hangingChars="91"/>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]中国中西医结合学会神经科专业委员会.中国脑梗死中西医结合诊治指南</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2017</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[J].中国中西医结合杂志,2018,38(02):136-144</w:t>
      </w:r>
      <w:r>
        <w:rPr>
          <w:rFonts w:hint="eastAsia" w:ascii="宋体" w:hAnsi="宋体" w:eastAsia="宋体" w:cs="宋体"/>
          <w:color w:val="auto"/>
          <w:sz w:val="24"/>
          <w:szCs w:val="24"/>
          <w:highlight w:val="none"/>
          <w:lang w:val="en-US" w:eastAsia="zh-CN"/>
        </w:rPr>
        <w:t>.</w:t>
      </w:r>
    </w:p>
    <w:p>
      <w:pPr>
        <w:spacing w:line="360" w:lineRule="auto"/>
        <w:ind w:left="218" w:leftChars="0" w:hanging="218" w:hangingChars="9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[9]苏敬萍.大剂量甲基强的松龙联合高压氧治疗急性一氧化碳中毒迟发性脑病患者的疗效分析[J].医学理论与实践,2020,33(19):3182-3184.</w:t>
      </w:r>
    </w:p>
    <w:p>
      <w:pPr>
        <w:spacing w:line="360" w:lineRule="auto"/>
        <w:ind w:left="218" w:leftChars="0" w:hanging="218" w:hangingChars="9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[10]冯宝静,宋国亮,黄利刚,等.高压氧配合电针对中老年高血压脑出血认知障碍患者疗效的影响[J].广州中医药大学学报,2020,37(08):1511-1516.</w:t>
      </w:r>
    </w:p>
    <w:p>
      <w:pPr>
        <w:spacing w:line="360" w:lineRule="auto"/>
        <w:ind w:left="218" w:leftChars="0" w:hanging="218" w:hangingChars="9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[11]王琳,张昊,黄莹.高压氧联合舒血宁对急性一氧化碳中毒患者心肌损伤及血液流变学的影响[J].山西医药杂志,2020,49(11):1407-1409.</w:t>
      </w:r>
    </w:p>
    <w:p>
      <w:pPr>
        <w:spacing w:line="360" w:lineRule="auto"/>
        <w:ind w:left="218" w:leftChars="0" w:hanging="218" w:hangingChars="9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[12]胡庆山,孙博宇,孙国柱.不同剂量甘露醇对大鼠创伤性脑水肿AQP4表达的影响和意义[J].脑与神经疾病杂志,2020,28(06):362-366.</w:t>
      </w:r>
    </w:p>
    <w:p>
      <w:pPr>
        <w:spacing w:line="360" w:lineRule="auto"/>
        <w:ind w:left="218" w:leftChars="0" w:hanging="218" w:hangingChars="9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[13]高振平.pro-BNP和FIB联合检测对老年高血压脑出血后并发脑水肿患者甘露醇治疗效果的评价[J].临床医药实践,2020,29(06):403-406.</w:t>
      </w:r>
    </w:p>
    <w:p>
      <w:pPr>
        <w:spacing w:line="360" w:lineRule="auto"/>
        <w:ind w:left="218" w:leftChars="0" w:hanging="218" w:hangingChars="9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[14]张其兵,石锋,张芳芳,等.电针刺激联合高压氧治疗对高血压脑出血患者神经功能及认知能力的影响[J].中华航海医学与高气压医学杂志,2020(02):188-191.</w:t>
      </w:r>
    </w:p>
    <w:p>
      <w:pPr>
        <w:spacing w:line="360" w:lineRule="auto"/>
        <w:ind w:left="218" w:leftChars="0" w:hanging="218" w:hangingChars="9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[15]冯宝静,宋国亮,张天麟,等.头针联合高压氧治疗高血压脑出血临床疗效及对患者脑水肿、认知功能的影响[J].河北中医,2020,42(02):264-269.</w:t>
      </w:r>
    </w:p>
    <w:p>
      <w:pPr>
        <w:spacing w:line="360" w:lineRule="auto"/>
        <w:ind w:left="218" w:leftChars="0" w:hanging="218" w:hangingChars="9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[16]王莉.托拉塞米注射液联合甘露醇对脑梗死急性期静脉溶栓术后脑水肿患者神经功能及生活质量的影响[J].现代医药卫生,2019,35(24):3828-3830.</w:t>
      </w:r>
    </w:p>
    <w:p>
      <w:pPr>
        <w:spacing w:line="360" w:lineRule="auto"/>
        <w:ind w:left="218" w:leftChars="0" w:hanging="218" w:hangingChars="9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[17]高继英,石代乐,高晓玲,等.活血涤痰汤联合高压氧对高血压脑出血神经功能恢复速度和血流动力学水平影响[J].中华中医药学刊,2020,38(09):213-216.</w:t>
      </w:r>
    </w:p>
    <w:p>
      <w:pPr>
        <w:spacing w:line="360" w:lineRule="auto"/>
        <w:ind w:left="218" w:leftChars="0" w:hanging="218" w:hangingChars="9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[18]钟华萍,夏蕾.利水通络化瘀方联合甘露醇治疗创伤性脑水肿患者的脱水效果及对颅内压、炎症介质水平的影响[J].四川中医,2019,37(11):138-141.</w:t>
      </w:r>
    </w:p>
    <w:p>
      <w:pPr>
        <w:spacing w:line="360" w:lineRule="auto"/>
        <w:ind w:left="218" w:leftChars="0" w:hanging="218" w:hangingChars="9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[19]张兴业,贺延莉.甘露醇治疗急性脑出血患者血清血管内皮生长因子、肿瘤坏死因子-α水平的动态变化及其与脑水肿的相关性[J].实用临床医药杂志,2019,23(16):4-7.</w:t>
      </w:r>
    </w:p>
    <w:p>
      <w:pPr>
        <w:spacing w:line="360" w:lineRule="auto"/>
        <w:ind w:left="218" w:leftChars="0" w:hanging="218" w:hangingChars="9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[20]张小章,钱志茹,徐兴华,等.复方麝香注射液联合高压氧对中等量高血压基底节区脑出血患者脑水肿及神经功能影响研究[J].辽宁中医杂志,2019,46(08):1663-1666.</w:t>
      </w:r>
    </w:p>
    <w:p>
      <w:pPr>
        <w:spacing w:line="360" w:lineRule="auto"/>
        <w:ind w:left="218" w:leftChars="0" w:hanging="218" w:hangingChars="9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[21]冯宝静,尹学永,王守臣,等.早期头针电刺激联合高压氧对高血压脑出血患者脑水肿及认知障碍的影响[J].现代中西医结合杂志,2019,28(04):413-416</w:t>
      </w:r>
      <w:r>
        <w:rPr>
          <w:rFonts w:hint="default" w:ascii="宋体" w:hAnsi="宋体" w:eastAsia="宋体" w:cs="宋体"/>
          <w:color w:val="auto"/>
          <w:sz w:val="24"/>
          <w:szCs w:val="24"/>
          <w:highlight w:val="none"/>
          <w:lang w:val="en"/>
        </w:rPr>
        <w:t>,</w:t>
      </w:r>
      <w:r>
        <w:rPr>
          <w:rFonts w:hint="eastAsia" w:ascii="宋体" w:hAnsi="宋体" w:eastAsia="宋体" w:cs="宋体"/>
          <w:color w:val="auto"/>
          <w:sz w:val="24"/>
          <w:szCs w:val="24"/>
          <w:highlight w:val="none"/>
        </w:rPr>
        <w:t>423.</w:t>
      </w:r>
    </w:p>
    <w:p>
      <w:pPr>
        <w:spacing w:line="360" w:lineRule="auto"/>
        <w:ind w:left="218" w:leftChars="0" w:hanging="218" w:hangingChars="9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[22]郭海军,黄军,韩德清,等.高压氧对急性脑出血患者血清NSE、BDNF、sICAM-1的影响及与脑水肿体积的相关性分析[J].疑难病杂志,2018,17(02):109-112.</w:t>
      </w:r>
    </w:p>
    <w:p>
      <w:pPr>
        <w:spacing w:line="360" w:lineRule="auto"/>
        <w:ind w:left="218" w:leftChars="0" w:hanging="218" w:hangingChars="9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[23]牛蕾蕾,李红玲,陈玉燕,等.不同介入时间高压氧治疗对实验性脑出血大鼠出血灶周围水肿及水通道蛋白-4表达的影响[J].中国康复医学杂志,2014,29(09):810-815.</w:t>
      </w:r>
    </w:p>
    <w:p>
      <w:pPr>
        <w:spacing w:line="360" w:lineRule="auto"/>
        <w:ind w:left="191" w:leftChars="0" w:hanging="191" w:hangingChars="91"/>
        <w:rPr>
          <w:rFonts w:hint="eastAsia" w:ascii="宋体" w:hAnsi="宋体" w:eastAsia="宋体" w:cs="宋体"/>
          <w:color w:val="auto"/>
          <w:sz w:val="24"/>
          <w:szCs w:val="24"/>
          <w:highlight w:val="none"/>
        </w:rPr>
      </w:pPr>
      <w:r>
        <w:rPr>
          <w:rFonts w:hint="eastAsia" w:ascii="宋体" w:hAnsi="宋体" w:cs="宋体"/>
          <w:szCs w:val="21"/>
          <w:lang w:val="en-US" w:eastAsia="zh-CN"/>
        </w:rPr>
        <w:t xml:space="preserve">                                               </w:t>
      </w:r>
      <w:r>
        <w:rPr>
          <w:rFonts w:hint="eastAsia" w:ascii="宋体" w:hAnsi="宋体" w:cs="宋体"/>
          <w:szCs w:val="21"/>
        </w:rPr>
        <w:t>（收稿日期：20</w:t>
      </w:r>
      <w:r>
        <w:rPr>
          <w:rFonts w:hint="eastAsia" w:ascii="宋体" w:hAnsi="宋体" w:cs="宋体"/>
          <w:szCs w:val="21"/>
          <w:lang w:val="en-US" w:eastAsia="zh-CN"/>
        </w:rPr>
        <w:t>22</w:t>
      </w:r>
      <w:r>
        <w:rPr>
          <w:rFonts w:hint="eastAsia" w:ascii="宋体" w:hAnsi="宋体" w:cs="宋体"/>
          <w:szCs w:val="21"/>
        </w:rPr>
        <w:t>-04-20）</w:t>
      </w:r>
    </w:p>
    <w:p>
      <w:pPr>
        <w:spacing w:line="360" w:lineRule="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w:t>
      </w:r>
      <w:r>
        <w:rPr>
          <w:rFonts w:hint="eastAsia" w:ascii="宋体" w:hAnsi="宋体" w:eastAsia="宋体" w:cs="宋体"/>
          <w:b w:val="0"/>
          <w:bCs w:val="0"/>
          <w:color w:val="auto"/>
          <w:sz w:val="24"/>
          <w:szCs w:val="24"/>
          <w:highlight w:val="none"/>
          <w:lang w:eastAsia="zh-CN"/>
        </w:rPr>
        <w:t>基金</w:t>
      </w:r>
      <w:r>
        <w:rPr>
          <w:rFonts w:hint="eastAsia" w:ascii="宋体" w:hAnsi="宋体" w:eastAsia="宋体" w:cs="宋体"/>
          <w:b w:val="0"/>
          <w:bCs w:val="0"/>
          <w:color w:val="auto"/>
          <w:sz w:val="24"/>
          <w:szCs w:val="24"/>
          <w:highlight w:val="none"/>
        </w:rPr>
        <w:t>项目：</w:t>
      </w:r>
      <w:r>
        <w:rPr>
          <w:rFonts w:hint="eastAsia" w:ascii="宋体" w:hAnsi="宋体" w:eastAsia="宋体" w:cs="宋体"/>
          <w:b w:val="0"/>
          <w:bCs w:val="0"/>
          <w:color w:val="auto"/>
          <w:sz w:val="24"/>
          <w:szCs w:val="24"/>
          <w:highlight w:val="none"/>
          <w:lang w:eastAsia="zh-CN"/>
        </w:rPr>
        <w:t>江西省</w:t>
      </w:r>
      <w:r>
        <w:rPr>
          <w:rFonts w:hint="eastAsia" w:ascii="宋体" w:hAnsi="宋体" w:eastAsia="宋体" w:cs="宋体"/>
          <w:b w:val="0"/>
          <w:bCs w:val="0"/>
          <w:color w:val="auto"/>
          <w:sz w:val="24"/>
          <w:szCs w:val="24"/>
          <w:highlight w:val="none"/>
        </w:rPr>
        <w:t>赣州市卫生和</w:t>
      </w:r>
      <w:bookmarkStart w:id="5" w:name="_GoBack"/>
      <w:bookmarkEnd w:id="5"/>
      <w:r>
        <w:rPr>
          <w:rFonts w:hint="eastAsia" w:ascii="宋体" w:hAnsi="宋体" w:eastAsia="宋体" w:cs="宋体"/>
          <w:b w:val="0"/>
          <w:bCs w:val="0"/>
          <w:color w:val="auto"/>
          <w:sz w:val="24"/>
          <w:szCs w:val="24"/>
          <w:highlight w:val="none"/>
        </w:rPr>
        <w:t>计划生育委员会科研计划项目</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编号：2022-2-205</w:t>
      </w:r>
      <w:r>
        <w:rPr>
          <w:rFonts w:hint="eastAsia" w:ascii="宋体" w:hAnsi="宋体" w:eastAsia="宋体" w:cs="宋体"/>
          <w:b w:val="0"/>
          <w:bCs w:val="0"/>
          <w:color w:val="auto"/>
          <w:sz w:val="24"/>
          <w:szCs w:val="24"/>
          <w:highlight w:val="none"/>
          <w:lang w:eastAsia="zh-CN"/>
        </w:rPr>
        <w:t>）</w:t>
      </w:r>
    </w:p>
    <w:p>
      <w:pPr>
        <w:spacing w:line="360" w:lineRule="auto"/>
        <w:rPr>
          <w:rFonts w:hint="eastAsia" w:ascii="宋体" w:hAnsi="宋体" w:eastAsia="宋体" w:cs="宋体"/>
          <w:color w:val="auto"/>
          <w:sz w:val="24"/>
          <w:szCs w:val="24"/>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E21F22"/>
    <w:multiLevelType w:val="multilevel"/>
    <w:tmpl w:val="FFE21F22"/>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kNWE5ZjMyNzkxZTE4YTdmODU4OGFlYjJjMzgzNGUifQ=="/>
  </w:docVars>
  <w:rsids>
    <w:rsidRoot w:val="31675C0B"/>
    <w:rsid w:val="00011D16"/>
    <w:rsid w:val="00024C07"/>
    <w:rsid w:val="00033C6E"/>
    <w:rsid w:val="0004002E"/>
    <w:rsid w:val="00070235"/>
    <w:rsid w:val="000E24F1"/>
    <w:rsid w:val="001143F6"/>
    <w:rsid w:val="001315D9"/>
    <w:rsid w:val="00136EA5"/>
    <w:rsid w:val="001C6389"/>
    <w:rsid w:val="001D7D65"/>
    <w:rsid w:val="001F25BF"/>
    <w:rsid w:val="00224F27"/>
    <w:rsid w:val="00257DA6"/>
    <w:rsid w:val="00273415"/>
    <w:rsid w:val="002D12CA"/>
    <w:rsid w:val="003221F6"/>
    <w:rsid w:val="00343C79"/>
    <w:rsid w:val="00375A73"/>
    <w:rsid w:val="00393C3F"/>
    <w:rsid w:val="00397756"/>
    <w:rsid w:val="003A117D"/>
    <w:rsid w:val="003B5181"/>
    <w:rsid w:val="003B7B7C"/>
    <w:rsid w:val="003C23AA"/>
    <w:rsid w:val="0040609E"/>
    <w:rsid w:val="004141B3"/>
    <w:rsid w:val="00427F8D"/>
    <w:rsid w:val="00440467"/>
    <w:rsid w:val="00454FC3"/>
    <w:rsid w:val="00494FFB"/>
    <w:rsid w:val="00524DA4"/>
    <w:rsid w:val="00527AAD"/>
    <w:rsid w:val="005B2093"/>
    <w:rsid w:val="00600ED4"/>
    <w:rsid w:val="006030BF"/>
    <w:rsid w:val="00633F8B"/>
    <w:rsid w:val="006E4DCF"/>
    <w:rsid w:val="0070101A"/>
    <w:rsid w:val="00702893"/>
    <w:rsid w:val="007B0BAC"/>
    <w:rsid w:val="007B50D2"/>
    <w:rsid w:val="007B5CDB"/>
    <w:rsid w:val="007C7D16"/>
    <w:rsid w:val="008116EE"/>
    <w:rsid w:val="00836085"/>
    <w:rsid w:val="0085120D"/>
    <w:rsid w:val="00900709"/>
    <w:rsid w:val="00953ABC"/>
    <w:rsid w:val="00985D87"/>
    <w:rsid w:val="009A3699"/>
    <w:rsid w:val="009E18FB"/>
    <w:rsid w:val="009E3A0F"/>
    <w:rsid w:val="00A006AC"/>
    <w:rsid w:val="00A40D89"/>
    <w:rsid w:val="00A43533"/>
    <w:rsid w:val="00A91481"/>
    <w:rsid w:val="00AC341C"/>
    <w:rsid w:val="00B16168"/>
    <w:rsid w:val="00B61517"/>
    <w:rsid w:val="00BB6220"/>
    <w:rsid w:val="00BD3777"/>
    <w:rsid w:val="00BF0BD4"/>
    <w:rsid w:val="00BF5993"/>
    <w:rsid w:val="00C011CF"/>
    <w:rsid w:val="00C2650A"/>
    <w:rsid w:val="00CB4E86"/>
    <w:rsid w:val="00CC1EB9"/>
    <w:rsid w:val="00D044A3"/>
    <w:rsid w:val="00D61853"/>
    <w:rsid w:val="00D743B5"/>
    <w:rsid w:val="00D8356A"/>
    <w:rsid w:val="00D959EF"/>
    <w:rsid w:val="00DB7E82"/>
    <w:rsid w:val="00E6284A"/>
    <w:rsid w:val="00EC46BD"/>
    <w:rsid w:val="00ED18DF"/>
    <w:rsid w:val="00ED6BF3"/>
    <w:rsid w:val="00F01B69"/>
    <w:rsid w:val="00FA7ECF"/>
    <w:rsid w:val="00FF5F74"/>
    <w:rsid w:val="010A3DC7"/>
    <w:rsid w:val="010C0502"/>
    <w:rsid w:val="012D66CB"/>
    <w:rsid w:val="0133008C"/>
    <w:rsid w:val="013405D7"/>
    <w:rsid w:val="0183453D"/>
    <w:rsid w:val="01AA5B27"/>
    <w:rsid w:val="01C0753F"/>
    <w:rsid w:val="01E074E1"/>
    <w:rsid w:val="01EA0118"/>
    <w:rsid w:val="01EC3947"/>
    <w:rsid w:val="01F50E6F"/>
    <w:rsid w:val="01F67308"/>
    <w:rsid w:val="024A4ACC"/>
    <w:rsid w:val="02716AEB"/>
    <w:rsid w:val="02975727"/>
    <w:rsid w:val="02D26BCE"/>
    <w:rsid w:val="02DD5808"/>
    <w:rsid w:val="02DD6033"/>
    <w:rsid w:val="0355064D"/>
    <w:rsid w:val="037C470C"/>
    <w:rsid w:val="03AF4505"/>
    <w:rsid w:val="03FA35B4"/>
    <w:rsid w:val="04102749"/>
    <w:rsid w:val="042B3B79"/>
    <w:rsid w:val="044C330C"/>
    <w:rsid w:val="044F1907"/>
    <w:rsid w:val="0458580D"/>
    <w:rsid w:val="047F16D2"/>
    <w:rsid w:val="04C15D82"/>
    <w:rsid w:val="05543F99"/>
    <w:rsid w:val="05956253"/>
    <w:rsid w:val="05A014DC"/>
    <w:rsid w:val="05BA0268"/>
    <w:rsid w:val="05C75BD8"/>
    <w:rsid w:val="061D0ABC"/>
    <w:rsid w:val="062E084C"/>
    <w:rsid w:val="065A41A0"/>
    <w:rsid w:val="0664493D"/>
    <w:rsid w:val="06951713"/>
    <w:rsid w:val="06BE72E1"/>
    <w:rsid w:val="06DA3702"/>
    <w:rsid w:val="06E67100"/>
    <w:rsid w:val="06EB2968"/>
    <w:rsid w:val="06FF0086"/>
    <w:rsid w:val="070901E9"/>
    <w:rsid w:val="07106873"/>
    <w:rsid w:val="072638EE"/>
    <w:rsid w:val="07535E60"/>
    <w:rsid w:val="07DD5220"/>
    <w:rsid w:val="081376F6"/>
    <w:rsid w:val="08157CB7"/>
    <w:rsid w:val="089C36A1"/>
    <w:rsid w:val="091018BA"/>
    <w:rsid w:val="0910310F"/>
    <w:rsid w:val="09451F0A"/>
    <w:rsid w:val="0946657C"/>
    <w:rsid w:val="094E48BD"/>
    <w:rsid w:val="095104FE"/>
    <w:rsid w:val="095D26D6"/>
    <w:rsid w:val="09795E21"/>
    <w:rsid w:val="09D5552C"/>
    <w:rsid w:val="0A2338FB"/>
    <w:rsid w:val="0A3C73CA"/>
    <w:rsid w:val="0A5875B4"/>
    <w:rsid w:val="0A5E51A8"/>
    <w:rsid w:val="0AB63EDF"/>
    <w:rsid w:val="0AD93454"/>
    <w:rsid w:val="0AEA2F37"/>
    <w:rsid w:val="0B1B655B"/>
    <w:rsid w:val="0B500BD1"/>
    <w:rsid w:val="0B552AA6"/>
    <w:rsid w:val="0BA518F5"/>
    <w:rsid w:val="0C484750"/>
    <w:rsid w:val="0C814BBA"/>
    <w:rsid w:val="0C9DC628"/>
    <w:rsid w:val="0CB357EF"/>
    <w:rsid w:val="0CB47CA0"/>
    <w:rsid w:val="0CDC1A8B"/>
    <w:rsid w:val="0D2043A4"/>
    <w:rsid w:val="0D3371AF"/>
    <w:rsid w:val="0D487E2F"/>
    <w:rsid w:val="0D687DF6"/>
    <w:rsid w:val="0D701E19"/>
    <w:rsid w:val="0D7F622E"/>
    <w:rsid w:val="0DB42355"/>
    <w:rsid w:val="0DC440B5"/>
    <w:rsid w:val="0E016238"/>
    <w:rsid w:val="0E0B28D3"/>
    <w:rsid w:val="0E1059D0"/>
    <w:rsid w:val="0E1327A4"/>
    <w:rsid w:val="0E23781C"/>
    <w:rsid w:val="0E323780"/>
    <w:rsid w:val="0E3B3F25"/>
    <w:rsid w:val="0E3D05AE"/>
    <w:rsid w:val="0E496054"/>
    <w:rsid w:val="0E773C8D"/>
    <w:rsid w:val="0EDE25B5"/>
    <w:rsid w:val="0FA31D55"/>
    <w:rsid w:val="0FBDCB1D"/>
    <w:rsid w:val="0FC41600"/>
    <w:rsid w:val="0FC86358"/>
    <w:rsid w:val="0FE03B0E"/>
    <w:rsid w:val="0FEE1F35"/>
    <w:rsid w:val="1008428F"/>
    <w:rsid w:val="10417B4F"/>
    <w:rsid w:val="10624F96"/>
    <w:rsid w:val="10627EFB"/>
    <w:rsid w:val="108F24F7"/>
    <w:rsid w:val="10DC65D6"/>
    <w:rsid w:val="10DF19E3"/>
    <w:rsid w:val="10F845FF"/>
    <w:rsid w:val="10FC64C1"/>
    <w:rsid w:val="1129562B"/>
    <w:rsid w:val="113D0264"/>
    <w:rsid w:val="119A133C"/>
    <w:rsid w:val="11A95452"/>
    <w:rsid w:val="11C14FB2"/>
    <w:rsid w:val="11D84431"/>
    <w:rsid w:val="120C10DC"/>
    <w:rsid w:val="12735F84"/>
    <w:rsid w:val="129801D4"/>
    <w:rsid w:val="12C164CC"/>
    <w:rsid w:val="13066FD6"/>
    <w:rsid w:val="130A5047"/>
    <w:rsid w:val="13460418"/>
    <w:rsid w:val="136046DE"/>
    <w:rsid w:val="13796071"/>
    <w:rsid w:val="13E16B2F"/>
    <w:rsid w:val="13FD017F"/>
    <w:rsid w:val="14296F75"/>
    <w:rsid w:val="14987A67"/>
    <w:rsid w:val="14997995"/>
    <w:rsid w:val="14EB2549"/>
    <w:rsid w:val="14F34C4A"/>
    <w:rsid w:val="15224F74"/>
    <w:rsid w:val="159C12AB"/>
    <w:rsid w:val="15B24002"/>
    <w:rsid w:val="15C947BC"/>
    <w:rsid w:val="15EA09F2"/>
    <w:rsid w:val="16007AB2"/>
    <w:rsid w:val="168601F0"/>
    <w:rsid w:val="168801D3"/>
    <w:rsid w:val="16974037"/>
    <w:rsid w:val="169923E1"/>
    <w:rsid w:val="16CE4C1A"/>
    <w:rsid w:val="16DE656D"/>
    <w:rsid w:val="171338FD"/>
    <w:rsid w:val="17195DAB"/>
    <w:rsid w:val="171E0654"/>
    <w:rsid w:val="17345C65"/>
    <w:rsid w:val="17966F3F"/>
    <w:rsid w:val="1812062B"/>
    <w:rsid w:val="18386BA0"/>
    <w:rsid w:val="184B4AEB"/>
    <w:rsid w:val="187B771C"/>
    <w:rsid w:val="18870B44"/>
    <w:rsid w:val="18D431FD"/>
    <w:rsid w:val="18DA283C"/>
    <w:rsid w:val="19084C0F"/>
    <w:rsid w:val="192B4690"/>
    <w:rsid w:val="192D6E10"/>
    <w:rsid w:val="19462ACA"/>
    <w:rsid w:val="194D300E"/>
    <w:rsid w:val="1966169D"/>
    <w:rsid w:val="19944A56"/>
    <w:rsid w:val="199645B8"/>
    <w:rsid w:val="19CF7D25"/>
    <w:rsid w:val="1A0A60E9"/>
    <w:rsid w:val="1A1638E7"/>
    <w:rsid w:val="1A4F44F2"/>
    <w:rsid w:val="1A5F749D"/>
    <w:rsid w:val="1AB175CD"/>
    <w:rsid w:val="1ACF26C9"/>
    <w:rsid w:val="1AD85233"/>
    <w:rsid w:val="1B1C0EEA"/>
    <w:rsid w:val="1B7A5A47"/>
    <w:rsid w:val="1B8424D5"/>
    <w:rsid w:val="1B9E3FF5"/>
    <w:rsid w:val="1BBC26CD"/>
    <w:rsid w:val="1BC315F1"/>
    <w:rsid w:val="1C1645D1"/>
    <w:rsid w:val="1C16608E"/>
    <w:rsid w:val="1C2362A8"/>
    <w:rsid w:val="1C6C1495"/>
    <w:rsid w:val="1C784846"/>
    <w:rsid w:val="1C795F48"/>
    <w:rsid w:val="1CA76EDA"/>
    <w:rsid w:val="1CE343B6"/>
    <w:rsid w:val="1D2C32FB"/>
    <w:rsid w:val="1D484219"/>
    <w:rsid w:val="1D4B790E"/>
    <w:rsid w:val="1D746A9D"/>
    <w:rsid w:val="1D7A0D33"/>
    <w:rsid w:val="1D8B1ECB"/>
    <w:rsid w:val="1DA05FEA"/>
    <w:rsid w:val="1DAB438B"/>
    <w:rsid w:val="1E05210A"/>
    <w:rsid w:val="1E162569"/>
    <w:rsid w:val="1E200A3C"/>
    <w:rsid w:val="1E2C0E08"/>
    <w:rsid w:val="1E4951D9"/>
    <w:rsid w:val="1EA4118E"/>
    <w:rsid w:val="1EAA2CB1"/>
    <w:rsid w:val="1EAC07D7"/>
    <w:rsid w:val="1F3A464F"/>
    <w:rsid w:val="1F3F6EE8"/>
    <w:rsid w:val="1F90331C"/>
    <w:rsid w:val="1FC658C9"/>
    <w:rsid w:val="1FD35607"/>
    <w:rsid w:val="1FDC7A28"/>
    <w:rsid w:val="1FE6B209"/>
    <w:rsid w:val="1FEB3BD8"/>
    <w:rsid w:val="1FED72F9"/>
    <w:rsid w:val="1FF70178"/>
    <w:rsid w:val="20117C7B"/>
    <w:rsid w:val="202B1BD0"/>
    <w:rsid w:val="203B62B7"/>
    <w:rsid w:val="205E1154"/>
    <w:rsid w:val="20B001A3"/>
    <w:rsid w:val="210963B5"/>
    <w:rsid w:val="211120A0"/>
    <w:rsid w:val="212E0A02"/>
    <w:rsid w:val="216830DB"/>
    <w:rsid w:val="217A696B"/>
    <w:rsid w:val="219E11B2"/>
    <w:rsid w:val="21E156F0"/>
    <w:rsid w:val="221C2118"/>
    <w:rsid w:val="22200A78"/>
    <w:rsid w:val="22337D2D"/>
    <w:rsid w:val="224A3310"/>
    <w:rsid w:val="227B299A"/>
    <w:rsid w:val="22D84E4F"/>
    <w:rsid w:val="22EA5D72"/>
    <w:rsid w:val="22ED5E33"/>
    <w:rsid w:val="22F24E88"/>
    <w:rsid w:val="22F46EC3"/>
    <w:rsid w:val="23075220"/>
    <w:rsid w:val="230E1A60"/>
    <w:rsid w:val="231C2F6B"/>
    <w:rsid w:val="23482EEF"/>
    <w:rsid w:val="234B5C42"/>
    <w:rsid w:val="239A1546"/>
    <w:rsid w:val="23A655AF"/>
    <w:rsid w:val="23A6DE1B"/>
    <w:rsid w:val="23CF4028"/>
    <w:rsid w:val="2455795D"/>
    <w:rsid w:val="2463218E"/>
    <w:rsid w:val="248144B4"/>
    <w:rsid w:val="24975A86"/>
    <w:rsid w:val="249F1935"/>
    <w:rsid w:val="24A563F4"/>
    <w:rsid w:val="24BA380A"/>
    <w:rsid w:val="252E38CE"/>
    <w:rsid w:val="25302162"/>
    <w:rsid w:val="25311A36"/>
    <w:rsid w:val="25454C92"/>
    <w:rsid w:val="255231DD"/>
    <w:rsid w:val="255C49C4"/>
    <w:rsid w:val="25985879"/>
    <w:rsid w:val="260908A6"/>
    <w:rsid w:val="261E645E"/>
    <w:rsid w:val="262A6E79"/>
    <w:rsid w:val="263712CE"/>
    <w:rsid w:val="26A42FBD"/>
    <w:rsid w:val="26D27328"/>
    <w:rsid w:val="26E864D7"/>
    <w:rsid w:val="26EDA3D8"/>
    <w:rsid w:val="270F3FF9"/>
    <w:rsid w:val="274113F2"/>
    <w:rsid w:val="2745363F"/>
    <w:rsid w:val="278B2A50"/>
    <w:rsid w:val="27A10EBD"/>
    <w:rsid w:val="27C3F625"/>
    <w:rsid w:val="27C6290A"/>
    <w:rsid w:val="284F2296"/>
    <w:rsid w:val="285D68F6"/>
    <w:rsid w:val="28951817"/>
    <w:rsid w:val="28AA6040"/>
    <w:rsid w:val="28AF7842"/>
    <w:rsid w:val="28BD5D58"/>
    <w:rsid w:val="28FB471E"/>
    <w:rsid w:val="29057194"/>
    <w:rsid w:val="29486391"/>
    <w:rsid w:val="2959155B"/>
    <w:rsid w:val="296E1AC3"/>
    <w:rsid w:val="297C26C7"/>
    <w:rsid w:val="29804278"/>
    <w:rsid w:val="299A67E4"/>
    <w:rsid w:val="29A94291"/>
    <w:rsid w:val="29A975F7"/>
    <w:rsid w:val="29AE780A"/>
    <w:rsid w:val="29F37C02"/>
    <w:rsid w:val="29FF1DE7"/>
    <w:rsid w:val="2A043BBD"/>
    <w:rsid w:val="2A377244"/>
    <w:rsid w:val="2A4051B2"/>
    <w:rsid w:val="2A516686"/>
    <w:rsid w:val="2A9211C9"/>
    <w:rsid w:val="2ACF7501"/>
    <w:rsid w:val="2AF91248"/>
    <w:rsid w:val="2B207F77"/>
    <w:rsid w:val="2B2F0EFE"/>
    <w:rsid w:val="2BD45BAF"/>
    <w:rsid w:val="2BD724CE"/>
    <w:rsid w:val="2BEB169D"/>
    <w:rsid w:val="2BFC7E86"/>
    <w:rsid w:val="2C1919CB"/>
    <w:rsid w:val="2C384DF5"/>
    <w:rsid w:val="2C4617FF"/>
    <w:rsid w:val="2C820DC9"/>
    <w:rsid w:val="2C8751BB"/>
    <w:rsid w:val="2C884632"/>
    <w:rsid w:val="2C9A25B7"/>
    <w:rsid w:val="2CA01F5F"/>
    <w:rsid w:val="2CAE0906"/>
    <w:rsid w:val="2CD62FBF"/>
    <w:rsid w:val="2CDF56E2"/>
    <w:rsid w:val="2D3E2175"/>
    <w:rsid w:val="2DB72B76"/>
    <w:rsid w:val="2DCD42C6"/>
    <w:rsid w:val="2E163EBF"/>
    <w:rsid w:val="2E304B76"/>
    <w:rsid w:val="2E7468D6"/>
    <w:rsid w:val="2EB21E3A"/>
    <w:rsid w:val="2EE303AC"/>
    <w:rsid w:val="2F322116"/>
    <w:rsid w:val="2F7610DD"/>
    <w:rsid w:val="2F77E4D7"/>
    <w:rsid w:val="2F7D0695"/>
    <w:rsid w:val="2F8D01B1"/>
    <w:rsid w:val="2FA40FCD"/>
    <w:rsid w:val="2FFED158"/>
    <w:rsid w:val="30022128"/>
    <w:rsid w:val="30123FFF"/>
    <w:rsid w:val="301627EA"/>
    <w:rsid w:val="30482D68"/>
    <w:rsid w:val="3055098D"/>
    <w:rsid w:val="30654C8A"/>
    <w:rsid w:val="30744ECD"/>
    <w:rsid w:val="30F9034F"/>
    <w:rsid w:val="3106021B"/>
    <w:rsid w:val="310908AC"/>
    <w:rsid w:val="312608BD"/>
    <w:rsid w:val="315309DC"/>
    <w:rsid w:val="31675C0B"/>
    <w:rsid w:val="31796D37"/>
    <w:rsid w:val="318F0210"/>
    <w:rsid w:val="31E01793"/>
    <w:rsid w:val="32230C13"/>
    <w:rsid w:val="32396C4F"/>
    <w:rsid w:val="32465DBB"/>
    <w:rsid w:val="3274548D"/>
    <w:rsid w:val="32AF463E"/>
    <w:rsid w:val="32B5307A"/>
    <w:rsid w:val="32BD4C7F"/>
    <w:rsid w:val="32FB0D84"/>
    <w:rsid w:val="32FE389F"/>
    <w:rsid w:val="33232484"/>
    <w:rsid w:val="33274602"/>
    <w:rsid w:val="33CF4952"/>
    <w:rsid w:val="341669C7"/>
    <w:rsid w:val="342E6960"/>
    <w:rsid w:val="343147AA"/>
    <w:rsid w:val="347730C5"/>
    <w:rsid w:val="348778C5"/>
    <w:rsid w:val="34B07A09"/>
    <w:rsid w:val="34B3484C"/>
    <w:rsid w:val="34C16318"/>
    <w:rsid w:val="34CF1BC8"/>
    <w:rsid w:val="34E60EEB"/>
    <w:rsid w:val="35243039"/>
    <w:rsid w:val="352E7146"/>
    <w:rsid w:val="35434495"/>
    <w:rsid w:val="355E5C87"/>
    <w:rsid w:val="35AB38E3"/>
    <w:rsid w:val="35C0558C"/>
    <w:rsid w:val="35D01BC9"/>
    <w:rsid w:val="368751BE"/>
    <w:rsid w:val="368D0A04"/>
    <w:rsid w:val="36C05BDE"/>
    <w:rsid w:val="36F00D16"/>
    <w:rsid w:val="36F2354D"/>
    <w:rsid w:val="3720696D"/>
    <w:rsid w:val="374D4EE1"/>
    <w:rsid w:val="375021F0"/>
    <w:rsid w:val="376637C1"/>
    <w:rsid w:val="376D4AA8"/>
    <w:rsid w:val="37AC1E30"/>
    <w:rsid w:val="37DA5EAF"/>
    <w:rsid w:val="38082ACA"/>
    <w:rsid w:val="381E0C74"/>
    <w:rsid w:val="382611A3"/>
    <w:rsid w:val="38482EC7"/>
    <w:rsid w:val="386F66A6"/>
    <w:rsid w:val="38921A31"/>
    <w:rsid w:val="38A9519D"/>
    <w:rsid w:val="38AF73EA"/>
    <w:rsid w:val="38BC201B"/>
    <w:rsid w:val="38FFE194"/>
    <w:rsid w:val="390D2369"/>
    <w:rsid w:val="3929719C"/>
    <w:rsid w:val="394602E6"/>
    <w:rsid w:val="3962445C"/>
    <w:rsid w:val="397731C5"/>
    <w:rsid w:val="397A041B"/>
    <w:rsid w:val="39DA3FF3"/>
    <w:rsid w:val="39F7C976"/>
    <w:rsid w:val="39F9C0A9"/>
    <w:rsid w:val="3A173288"/>
    <w:rsid w:val="3A812D77"/>
    <w:rsid w:val="3AA761D2"/>
    <w:rsid w:val="3AD1478E"/>
    <w:rsid w:val="3AE51028"/>
    <w:rsid w:val="3AED33A6"/>
    <w:rsid w:val="3B253993"/>
    <w:rsid w:val="3B350E3B"/>
    <w:rsid w:val="3B75503F"/>
    <w:rsid w:val="3B916298"/>
    <w:rsid w:val="3BB72C88"/>
    <w:rsid w:val="3BD15A10"/>
    <w:rsid w:val="3BFB1E94"/>
    <w:rsid w:val="3BFDFDF6"/>
    <w:rsid w:val="3BFF07C9"/>
    <w:rsid w:val="3BFF6489"/>
    <w:rsid w:val="3C2116F4"/>
    <w:rsid w:val="3C3A3403"/>
    <w:rsid w:val="3C4675C6"/>
    <w:rsid w:val="3C713421"/>
    <w:rsid w:val="3C814BF9"/>
    <w:rsid w:val="3C827118"/>
    <w:rsid w:val="3C8F4B18"/>
    <w:rsid w:val="3C90308E"/>
    <w:rsid w:val="3CA82891"/>
    <w:rsid w:val="3CAB0FC3"/>
    <w:rsid w:val="3CBB50F2"/>
    <w:rsid w:val="3CCD42E3"/>
    <w:rsid w:val="3D07265C"/>
    <w:rsid w:val="3D2B6C91"/>
    <w:rsid w:val="3D3939D0"/>
    <w:rsid w:val="3D3A3646"/>
    <w:rsid w:val="3D6F941B"/>
    <w:rsid w:val="3D7406A3"/>
    <w:rsid w:val="3D815877"/>
    <w:rsid w:val="3DA20059"/>
    <w:rsid w:val="3DB51B98"/>
    <w:rsid w:val="3DD56275"/>
    <w:rsid w:val="3DDC2A2F"/>
    <w:rsid w:val="3DE55E7F"/>
    <w:rsid w:val="3DEF64EF"/>
    <w:rsid w:val="3E1C3664"/>
    <w:rsid w:val="3E26041B"/>
    <w:rsid w:val="3E5A12BB"/>
    <w:rsid w:val="3E5C3FF8"/>
    <w:rsid w:val="3E692392"/>
    <w:rsid w:val="3E837EBA"/>
    <w:rsid w:val="3E973D4D"/>
    <w:rsid w:val="3E974BA8"/>
    <w:rsid w:val="3EB46502"/>
    <w:rsid w:val="3EC35CC3"/>
    <w:rsid w:val="3ED3C154"/>
    <w:rsid w:val="3ED731F7"/>
    <w:rsid w:val="3EE958F5"/>
    <w:rsid w:val="3EEC4EF4"/>
    <w:rsid w:val="3EF677E2"/>
    <w:rsid w:val="3EFB9B89"/>
    <w:rsid w:val="3F0A649A"/>
    <w:rsid w:val="3F147A1F"/>
    <w:rsid w:val="3F4A5777"/>
    <w:rsid w:val="3F6126F9"/>
    <w:rsid w:val="3F7668E9"/>
    <w:rsid w:val="3F8D690C"/>
    <w:rsid w:val="3F987B1A"/>
    <w:rsid w:val="3FC86B2B"/>
    <w:rsid w:val="3FF37BBC"/>
    <w:rsid w:val="3FF762F2"/>
    <w:rsid w:val="3FFFEA7D"/>
    <w:rsid w:val="401E0338"/>
    <w:rsid w:val="404E573A"/>
    <w:rsid w:val="40946FE7"/>
    <w:rsid w:val="40953F28"/>
    <w:rsid w:val="40BC5393"/>
    <w:rsid w:val="40CD4856"/>
    <w:rsid w:val="41020FCF"/>
    <w:rsid w:val="416F0B0B"/>
    <w:rsid w:val="4177228B"/>
    <w:rsid w:val="41AF63CF"/>
    <w:rsid w:val="41B33AA7"/>
    <w:rsid w:val="41BB7BBA"/>
    <w:rsid w:val="41D61543"/>
    <w:rsid w:val="41E55C2A"/>
    <w:rsid w:val="41EB0134"/>
    <w:rsid w:val="42231BC5"/>
    <w:rsid w:val="425C5EED"/>
    <w:rsid w:val="427A6373"/>
    <w:rsid w:val="42984E79"/>
    <w:rsid w:val="42B570F5"/>
    <w:rsid w:val="42FA106C"/>
    <w:rsid w:val="430C08A6"/>
    <w:rsid w:val="432F017C"/>
    <w:rsid w:val="433A3653"/>
    <w:rsid w:val="438641A6"/>
    <w:rsid w:val="43D8486F"/>
    <w:rsid w:val="43F108B7"/>
    <w:rsid w:val="43FF1225"/>
    <w:rsid w:val="44134CD1"/>
    <w:rsid w:val="445B539D"/>
    <w:rsid w:val="445B580D"/>
    <w:rsid w:val="44FB6B5B"/>
    <w:rsid w:val="45302471"/>
    <w:rsid w:val="45565419"/>
    <w:rsid w:val="45A656D1"/>
    <w:rsid w:val="45BC946B"/>
    <w:rsid w:val="45DE30BD"/>
    <w:rsid w:val="460E2442"/>
    <w:rsid w:val="462F5DFF"/>
    <w:rsid w:val="463C6E4E"/>
    <w:rsid w:val="46472A10"/>
    <w:rsid w:val="465F0160"/>
    <w:rsid w:val="46E61CD3"/>
    <w:rsid w:val="472D60AA"/>
    <w:rsid w:val="474C5990"/>
    <w:rsid w:val="474E3049"/>
    <w:rsid w:val="475357C4"/>
    <w:rsid w:val="47A520E4"/>
    <w:rsid w:val="47BB6D1D"/>
    <w:rsid w:val="47E66258"/>
    <w:rsid w:val="47EB6F48"/>
    <w:rsid w:val="48050DD4"/>
    <w:rsid w:val="481E4FF0"/>
    <w:rsid w:val="482E67C9"/>
    <w:rsid w:val="483E1BDC"/>
    <w:rsid w:val="48627C5A"/>
    <w:rsid w:val="48BA0626"/>
    <w:rsid w:val="48BF0F83"/>
    <w:rsid w:val="48C90DA0"/>
    <w:rsid w:val="48E8335D"/>
    <w:rsid w:val="491C0184"/>
    <w:rsid w:val="49366D6C"/>
    <w:rsid w:val="49557B3A"/>
    <w:rsid w:val="49695393"/>
    <w:rsid w:val="496F3DC3"/>
    <w:rsid w:val="497C6E74"/>
    <w:rsid w:val="49940662"/>
    <w:rsid w:val="49CC7DFC"/>
    <w:rsid w:val="49CD76D0"/>
    <w:rsid w:val="4A3B6D2F"/>
    <w:rsid w:val="4A524160"/>
    <w:rsid w:val="4A630034"/>
    <w:rsid w:val="4A6B76DF"/>
    <w:rsid w:val="4A873D23"/>
    <w:rsid w:val="4A9E0FB1"/>
    <w:rsid w:val="4AC22B50"/>
    <w:rsid w:val="4AE55AAC"/>
    <w:rsid w:val="4AE81BA2"/>
    <w:rsid w:val="4B095FC3"/>
    <w:rsid w:val="4B1B136B"/>
    <w:rsid w:val="4B431D08"/>
    <w:rsid w:val="4B7778F3"/>
    <w:rsid w:val="4BE62CCB"/>
    <w:rsid w:val="4BF76C86"/>
    <w:rsid w:val="4C102B15"/>
    <w:rsid w:val="4C436A03"/>
    <w:rsid w:val="4C574A64"/>
    <w:rsid w:val="4C866811"/>
    <w:rsid w:val="4C8D61DF"/>
    <w:rsid w:val="4CA93D05"/>
    <w:rsid w:val="4D115B26"/>
    <w:rsid w:val="4D3A1520"/>
    <w:rsid w:val="4D5A571F"/>
    <w:rsid w:val="4D7E7657"/>
    <w:rsid w:val="4D9724CF"/>
    <w:rsid w:val="4DBB2929"/>
    <w:rsid w:val="4E9B3E20"/>
    <w:rsid w:val="4EAD187E"/>
    <w:rsid w:val="4EC15C1A"/>
    <w:rsid w:val="4EC71955"/>
    <w:rsid w:val="4ECC0997"/>
    <w:rsid w:val="4EDF2B2C"/>
    <w:rsid w:val="4EE6C45D"/>
    <w:rsid w:val="4EF9D407"/>
    <w:rsid w:val="4F1D2DE2"/>
    <w:rsid w:val="4F295690"/>
    <w:rsid w:val="4F3B50DC"/>
    <w:rsid w:val="4F4749FD"/>
    <w:rsid w:val="4F57F03E"/>
    <w:rsid w:val="4F6433EF"/>
    <w:rsid w:val="4F672375"/>
    <w:rsid w:val="4F786330"/>
    <w:rsid w:val="4FA419CD"/>
    <w:rsid w:val="4FA8359A"/>
    <w:rsid w:val="4FCA700A"/>
    <w:rsid w:val="4FD25A40"/>
    <w:rsid w:val="50235D53"/>
    <w:rsid w:val="5027270D"/>
    <w:rsid w:val="50281B04"/>
    <w:rsid w:val="505859C5"/>
    <w:rsid w:val="506E09F4"/>
    <w:rsid w:val="50863D59"/>
    <w:rsid w:val="513C39C1"/>
    <w:rsid w:val="518110E0"/>
    <w:rsid w:val="51960CEF"/>
    <w:rsid w:val="51C502D3"/>
    <w:rsid w:val="51DC0DF8"/>
    <w:rsid w:val="52245D8B"/>
    <w:rsid w:val="52300B6B"/>
    <w:rsid w:val="525F3E0F"/>
    <w:rsid w:val="52DE30AC"/>
    <w:rsid w:val="52E42F45"/>
    <w:rsid w:val="53057EDB"/>
    <w:rsid w:val="53565CBA"/>
    <w:rsid w:val="53663062"/>
    <w:rsid w:val="536F7285"/>
    <w:rsid w:val="53997AAA"/>
    <w:rsid w:val="53A0798C"/>
    <w:rsid w:val="53CA58EF"/>
    <w:rsid w:val="53D2782D"/>
    <w:rsid w:val="53DF619F"/>
    <w:rsid w:val="540006A2"/>
    <w:rsid w:val="54027ADC"/>
    <w:rsid w:val="54AC2108"/>
    <w:rsid w:val="54AF45A2"/>
    <w:rsid w:val="54BB0714"/>
    <w:rsid w:val="54C42236"/>
    <w:rsid w:val="54F664EA"/>
    <w:rsid w:val="54FFBD25"/>
    <w:rsid w:val="550900A6"/>
    <w:rsid w:val="554D6D51"/>
    <w:rsid w:val="55676C2B"/>
    <w:rsid w:val="55FD758F"/>
    <w:rsid w:val="560069CD"/>
    <w:rsid w:val="56091A90"/>
    <w:rsid w:val="5689216C"/>
    <w:rsid w:val="56AB3F1C"/>
    <w:rsid w:val="56E7DE62"/>
    <w:rsid w:val="56EB73E7"/>
    <w:rsid w:val="56FA587C"/>
    <w:rsid w:val="5700006C"/>
    <w:rsid w:val="57160908"/>
    <w:rsid w:val="57572CCF"/>
    <w:rsid w:val="575E5D20"/>
    <w:rsid w:val="577A33AF"/>
    <w:rsid w:val="577EF322"/>
    <w:rsid w:val="578810DA"/>
    <w:rsid w:val="57AA72A2"/>
    <w:rsid w:val="57BD4EC6"/>
    <w:rsid w:val="57D707BF"/>
    <w:rsid w:val="57DD1760"/>
    <w:rsid w:val="57DFA4BB"/>
    <w:rsid w:val="57E00E2A"/>
    <w:rsid w:val="57EFF6D5"/>
    <w:rsid w:val="57FEF68D"/>
    <w:rsid w:val="580609B6"/>
    <w:rsid w:val="582906E9"/>
    <w:rsid w:val="58575D94"/>
    <w:rsid w:val="585A2A77"/>
    <w:rsid w:val="585B279E"/>
    <w:rsid w:val="587315D8"/>
    <w:rsid w:val="58773629"/>
    <w:rsid w:val="58A41F44"/>
    <w:rsid w:val="58A73852"/>
    <w:rsid w:val="58B852E0"/>
    <w:rsid w:val="58F3601C"/>
    <w:rsid w:val="58FD4832"/>
    <w:rsid w:val="593405B4"/>
    <w:rsid w:val="59431705"/>
    <w:rsid w:val="595128D6"/>
    <w:rsid w:val="59592D2E"/>
    <w:rsid w:val="59694BA7"/>
    <w:rsid w:val="5975743C"/>
    <w:rsid w:val="597F0A40"/>
    <w:rsid w:val="598F4BA5"/>
    <w:rsid w:val="59A0095D"/>
    <w:rsid w:val="59AF0BA0"/>
    <w:rsid w:val="59B70E7C"/>
    <w:rsid w:val="59C4289D"/>
    <w:rsid w:val="59EE798A"/>
    <w:rsid w:val="5A2B6183"/>
    <w:rsid w:val="5A335D6B"/>
    <w:rsid w:val="5AC02939"/>
    <w:rsid w:val="5ADF429D"/>
    <w:rsid w:val="5B105E24"/>
    <w:rsid w:val="5B2675A6"/>
    <w:rsid w:val="5B2C34C0"/>
    <w:rsid w:val="5B619A5F"/>
    <w:rsid w:val="5B80444C"/>
    <w:rsid w:val="5BA95E1C"/>
    <w:rsid w:val="5BBE539F"/>
    <w:rsid w:val="5BC45966"/>
    <w:rsid w:val="5BE2E09D"/>
    <w:rsid w:val="5BFAB600"/>
    <w:rsid w:val="5C0C4088"/>
    <w:rsid w:val="5C292373"/>
    <w:rsid w:val="5C4E5ABA"/>
    <w:rsid w:val="5C597662"/>
    <w:rsid w:val="5C8F0D4E"/>
    <w:rsid w:val="5CF97147"/>
    <w:rsid w:val="5D0E2082"/>
    <w:rsid w:val="5D0E43AC"/>
    <w:rsid w:val="5D2541AE"/>
    <w:rsid w:val="5D573A29"/>
    <w:rsid w:val="5D6E60BF"/>
    <w:rsid w:val="5DA46EDA"/>
    <w:rsid w:val="5DB20C5F"/>
    <w:rsid w:val="5DC2491D"/>
    <w:rsid w:val="5DCA7D57"/>
    <w:rsid w:val="5DCB1D21"/>
    <w:rsid w:val="5DD1709F"/>
    <w:rsid w:val="5DD26CE9"/>
    <w:rsid w:val="5DDBF4FF"/>
    <w:rsid w:val="5DDC8B3E"/>
    <w:rsid w:val="5DDE7CA6"/>
    <w:rsid w:val="5DF017B6"/>
    <w:rsid w:val="5E251431"/>
    <w:rsid w:val="5E4C4C10"/>
    <w:rsid w:val="5EA03772"/>
    <w:rsid w:val="5EAFA257"/>
    <w:rsid w:val="5EBA487E"/>
    <w:rsid w:val="5ED327B2"/>
    <w:rsid w:val="5EF13A09"/>
    <w:rsid w:val="5EF157B7"/>
    <w:rsid w:val="5EF3D6F5"/>
    <w:rsid w:val="5EF5E083"/>
    <w:rsid w:val="5EFFDEAA"/>
    <w:rsid w:val="5F2416E8"/>
    <w:rsid w:val="5F263873"/>
    <w:rsid w:val="5F3C499D"/>
    <w:rsid w:val="5F504272"/>
    <w:rsid w:val="5F5860C7"/>
    <w:rsid w:val="5F79574A"/>
    <w:rsid w:val="5F7EB199"/>
    <w:rsid w:val="5F99099D"/>
    <w:rsid w:val="5F9CC4FF"/>
    <w:rsid w:val="5FC5DD34"/>
    <w:rsid w:val="5FCF5D52"/>
    <w:rsid w:val="5FD7C8AC"/>
    <w:rsid w:val="5FDFB833"/>
    <w:rsid w:val="5FF876C9"/>
    <w:rsid w:val="602003E1"/>
    <w:rsid w:val="60687283"/>
    <w:rsid w:val="607641C6"/>
    <w:rsid w:val="60793CB6"/>
    <w:rsid w:val="60964868"/>
    <w:rsid w:val="60BE2771"/>
    <w:rsid w:val="60D11860"/>
    <w:rsid w:val="60D623C1"/>
    <w:rsid w:val="610E2650"/>
    <w:rsid w:val="61240C84"/>
    <w:rsid w:val="61464F2C"/>
    <w:rsid w:val="61563F40"/>
    <w:rsid w:val="619054D7"/>
    <w:rsid w:val="61C346B7"/>
    <w:rsid w:val="61F564A8"/>
    <w:rsid w:val="622C5484"/>
    <w:rsid w:val="625031F6"/>
    <w:rsid w:val="62C36DED"/>
    <w:rsid w:val="62E611F4"/>
    <w:rsid w:val="62F7478A"/>
    <w:rsid w:val="62FA6696"/>
    <w:rsid w:val="62FD0BCE"/>
    <w:rsid w:val="632379EE"/>
    <w:rsid w:val="634E142A"/>
    <w:rsid w:val="63B47D9E"/>
    <w:rsid w:val="63C5544C"/>
    <w:rsid w:val="64325F10"/>
    <w:rsid w:val="647F79B7"/>
    <w:rsid w:val="64A57F2D"/>
    <w:rsid w:val="64B4350F"/>
    <w:rsid w:val="64F1002D"/>
    <w:rsid w:val="64F52E5B"/>
    <w:rsid w:val="64FB113D"/>
    <w:rsid w:val="64FB2EEB"/>
    <w:rsid w:val="65117A25"/>
    <w:rsid w:val="652A599B"/>
    <w:rsid w:val="653455BE"/>
    <w:rsid w:val="65497D6C"/>
    <w:rsid w:val="6558033E"/>
    <w:rsid w:val="657F1D6E"/>
    <w:rsid w:val="658F2C3D"/>
    <w:rsid w:val="6599646A"/>
    <w:rsid w:val="659A2704"/>
    <w:rsid w:val="65BF216B"/>
    <w:rsid w:val="6600130C"/>
    <w:rsid w:val="663761A5"/>
    <w:rsid w:val="665568AE"/>
    <w:rsid w:val="665A54E5"/>
    <w:rsid w:val="6694216A"/>
    <w:rsid w:val="66A870A3"/>
    <w:rsid w:val="66DB2FD4"/>
    <w:rsid w:val="66ED5E44"/>
    <w:rsid w:val="67212E7F"/>
    <w:rsid w:val="674047A3"/>
    <w:rsid w:val="67566AFF"/>
    <w:rsid w:val="67683228"/>
    <w:rsid w:val="67734619"/>
    <w:rsid w:val="677B52F3"/>
    <w:rsid w:val="67B4557A"/>
    <w:rsid w:val="67DD4B2A"/>
    <w:rsid w:val="67ED7A99"/>
    <w:rsid w:val="67F6408A"/>
    <w:rsid w:val="67FEECCF"/>
    <w:rsid w:val="685B7298"/>
    <w:rsid w:val="688E6FE8"/>
    <w:rsid w:val="68921DB9"/>
    <w:rsid w:val="68A51AEC"/>
    <w:rsid w:val="68E11452"/>
    <w:rsid w:val="68E34F48"/>
    <w:rsid w:val="68E75D15"/>
    <w:rsid w:val="69126A56"/>
    <w:rsid w:val="693C5FBF"/>
    <w:rsid w:val="69826F10"/>
    <w:rsid w:val="698E400F"/>
    <w:rsid w:val="69923A21"/>
    <w:rsid w:val="69E168CC"/>
    <w:rsid w:val="69F75F14"/>
    <w:rsid w:val="6A0635D8"/>
    <w:rsid w:val="6A2F1809"/>
    <w:rsid w:val="6A3F7D1E"/>
    <w:rsid w:val="6A53651E"/>
    <w:rsid w:val="6A604E48"/>
    <w:rsid w:val="6AD22940"/>
    <w:rsid w:val="6AEE52AE"/>
    <w:rsid w:val="6B3DEDC4"/>
    <w:rsid w:val="6B4078F7"/>
    <w:rsid w:val="6B7527A5"/>
    <w:rsid w:val="6B77B7C2"/>
    <w:rsid w:val="6B924226"/>
    <w:rsid w:val="6BBEB650"/>
    <w:rsid w:val="6BD5099E"/>
    <w:rsid w:val="6BEE5BD4"/>
    <w:rsid w:val="6BF1329A"/>
    <w:rsid w:val="6BF7466E"/>
    <w:rsid w:val="6BFCE255"/>
    <w:rsid w:val="6C0B323A"/>
    <w:rsid w:val="6C0D558B"/>
    <w:rsid w:val="6C276CBC"/>
    <w:rsid w:val="6C523D39"/>
    <w:rsid w:val="6C9C6D62"/>
    <w:rsid w:val="6CB0061F"/>
    <w:rsid w:val="6CCB3AEB"/>
    <w:rsid w:val="6CDB39FC"/>
    <w:rsid w:val="6CDC2F6E"/>
    <w:rsid w:val="6CF8A218"/>
    <w:rsid w:val="6D561607"/>
    <w:rsid w:val="6D7C48EA"/>
    <w:rsid w:val="6D9D7236"/>
    <w:rsid w:val="6DA30945"/>
    <w:rsid w:val="6DCF67B5"/>
    <w:rsid w:val="6DDF1065"/>
    <w:rsid w:val="6E213C99"/>
    <w:rsid w:val="6E414065"/>
    <w:rsid w:val="6E7E53C1"/>
    <w:rsid w:val="6E99127C"/>
    <w:rsid w:val="6EA75763"/>
    <w:rsid w:val="6EB3F602"/>
    <w:rsid w:val="6EC7D039"/>
    <w:rsid w:val="6ECF6A26"/>
    <w:rsid w:val="6EE9019B"/>
    <w:rsid w:val="6EF00976"/>
    <w:rsid w:val="6F2E3CDC"/>
    <w:rsid w:val="6F370815"/>
    <w:rsid w:val="6F3F0DD9"/>
    <w:rsid w:val="6F6548B4"/>
    <w:rsid w:val="6F696B02"/>
    <w:rsid w:val="6F71097A"/>
    <w:rsid w:val="6F7DED98"/>
    <w:rsid w:val="6F7DF680"/>
    <w:rsid w:val="6F83245B"/>
    <w:rsid w:val="6F8F31C2"/>
    <w:rsid w:val="6F8F7052"/>
    <w:rsid w:val="6F946416"/>
    <w:rsid w:val="6FBD596D"/>
    <w:rsid w:val="6FBF8415"/>
    <w:rsid w:val="6FDF0C0A"/>
    <w:rsid w:val="6FEF63E0"/>
    <w:rsid w:val="6FFB7252"/>
    <w:rsid w:val="6FFECFBA"/>
    <w:rsid w:val="6FFFD303"/>
    <w:rsid w:val="7003234B"/>
    <w:rsid w:val="701E653C"/>
    <w:rsid w:val="70883186"/>
    <w:rsid w:val="70936E8A"/>
    <w:rsid w:val="709C170F"/>
    <w:rsid w:val="70AB36F8"/>
    <w:rsid w:val="70AB3A18"/>
    <w:rsid w:val="70CC1A17"/>
    <w:rsid w:val="70D311C0"/>
    <w:rsid w:val="70E7410D"/>
    <w:rsid w:val="710864C2"/>
    <w:rsid w:val="710D4E68"/>
    <w:rsid w:val="714673F7"/>
    <w:rsid w:val="7157FB7C"/>
    <w:rsid w:val="71BF32D2"/>
    <w:rsid w:val="71EF6DAF"/>
    <w:rsid w:val="724E4909"/>
    <w:rsid w:val="72541F51"/>
    <w:rsid w:val="727147ED"/>
    <w:rsid w:val="72D1317C"/>
    <w:rsid w:val="72FDA0DF"/>
    <w:rsid w:val="7306587D"/>
    <w:rsid w:val="730E308A"/>
    <w:rsid w:val="73100BB1"/>
    <w:rsid w:val="73257321"/>
    <w:rsid w:val="73296FF5"/>
    <w:rsid w:val="732A31CF"/>
    <w:rsid w:val="733B3EC8"/>
    <w:rsid w:val="73AF4B96"/>
    <w:rsid w:val="73EE053C"/>
    <w:rsid w:val="73EF6311"/>
    <w:rsid w:val="73F51ED3"/>
    <w:rsid w:val="74251C43"/>
    <w:rsid w:val="74604B19"/>
    <w:rsid w:val="748D7202"/>
    <w:rsid w:val="74A54C22"/>
    <w:rsid w:val="74D62EBE"/>
    <w:rsid w:val="75034137"/>
    <w:rsid w:val="75456FFC"/>
    <w:rsid w:val="75AFD7F6"/>
    <w:rsid w:val="75B5764E"/>
    <w:rsid w:val="75EB48B6"/>
    <w:rsid w:val="75FEE616"/>
    <w:rsid w:val="76164029"/>
    <w:rsid w:val="76381ED9"/>
    <w:rsid w:val="76402E54"/>
    <w:rsid w:val="765DEAD1"/>
    <w:rsid w:val="766703E1"/>
    <w:rsid w:val="76B61368"/>
    <w:rsid w:val="76B86E8E"/>
    <w:rsid w:val="76BB7B9C"/>
    <w:rsid w:val="76C61956"/>
    <w:rsid w:val="76D4359C"/>
    <w:rsid w:val="76DB492B"/>
    <w:rsid w:val="76FF9E3D"/>
    <w:rsid w:val="77361931"/>
    <w:rsid w:val="77407DCA"/>
    <w:rsid w:val="775113E5"/>
    <w:rsid w:val="776668EA"/>
    <w:rsid w:val="777BF31F"/>
    <w:rsid w:val="779D7E32"/>
    <w:rsid w:val="77A86B72"/>
    <w:rsid w:val="77BFEA9B"/>
    <w:rsid w:val="77CB499F"/>
    <w:rsid w:val="77CB7931"/>
    <w:rsid w:val="77CF20BA"/>
    <w:rsid w:val="77DFA2A3"/>
    <w:rsid w:val="77E70EBD"/>
    <w:rsid w:val="77ED9C80"/>
    <w:rsid w:val="77EF3578"/>
    <w:rsid w:val="77EFB3F4"/>
    <w:rsid w:val="77FEA311"/>
    <w:rsid w:val="781F2ADF"/>
    <w:rsid w:val="78254062"/>
    <w:rsid w:val="78331895"/>
    <w:rsid w:val="7863107C"/>
    <w:rsid w:val="78664B8B"/>
    <w:rsid w:val="78776F40"/>
    <w:rsid w:val="787B48AE"/>
    <w:rsid w:val="787C3EEC"/>
    <w:rsid w:val="787E7953"/>
    <w:rsid w:val="78D808B7"/>
    <w:rsid w:val="78E57CE3"/>
    <w:rsid w:val="78E74258"/>
    <w:rsid w:val="79094651"/>
    <w:rsid w:val="7925192B"/>
    <w:rsid w:val="79382508"/>
    <w:rsid w:val="79535518"/>
    <w:rsid w:val="79605C39"/>
    <w:rsid w:val="796C7425"/>
    <w:rsid w:val="79794CD4"/>
    <w:rsid w:val="797D709E"/>
    <w:rsid w:val="799F6E46"/>
    <w:rsid w:val="79E75522"/>
    <w:rsid w:val="79ED39E8"/>
    <w:rsid w:val="79F134EC"/>
    <w:rsid w:val="7A4C6FBE"/>
    <w:rsid w:val="7A841BE1"/>
    <w:rsid w:val="7A910122"/>
    <w:rsid w:val="7A94376E"/>
    <w:rsid w:val="7AA7568D"/>
    <w:rsid w:val="7AB45BBF"/>
    <w:rsid w:val="7ACAFB07"/>
    <w:rsid w:val="7AE244DA"/>
    <w:rsid w:val="7AEB76D4"/>
    <w:rsid w:val="7AF33058"/>
    <w:rsid w:val="7B05641A"/>
    <w:rsid w:val="7B2F59D6"/>
    <w:rsid w:val="7B39049D"/>
    <w:rsid w:val="7B514F5B"/>
    <w:rsid w:val="7B5812CA"/>
    <w:rsid w:val="7B607AF4"/>
    <w:rsid w:val="7B66357A"/>
    <w:rsid w:val="7BB5A3B0"/>
    <w:rsid w:val="7BC13F72"/>
    <w:rsid w:val="7BC25170"/>
    <w:rsid w:val="7BD01C84"/>
    <w:rsid w:val="7BDCDEDC"/>
    <w:rsid w:val="7BED9734"/>
    <w:rsid w:val="7BF90AC0"/>
    <w:rsid w:val="7BFBE50C"/>
    <w:rsid w:val="7BFCDC9C"/>
    <w:rsid w:val="7BFDF91E"/>
    <w:rsid w:val="7BFF066A"/>
    <w:rsid w:val="7C5A0F00"/>
    <w:rsid w:val="7C815F74"/>
    <w:rsid w:val="7CBFC478"/>
    <w:rsid w:val="7D0D7803"/>
    <w:rsid w:val="7D3B6171"/>
    <w:rsid w:val="7D3F7243"/>
    <w:rsid w:val="7D4063A0"/>
    <w:rsid w:val="7D5E2D6C"/>
    <w:rsid w:val="7D6A4C5A"/>
    <w:rsid w:val="7D6E6932"/>
    <w:rsid w:val="7D816EAE"/>
    <w:rsid w:val="7D8A27F2"/>
    <w:rsid w:val="7DA77C5D"/>
    <w:rsid w:val="7DB06B11"/>
    <w:rsid w:val="7DBA6CB5"/>
    <w:rsid w:val="7DD07F4F"/>
    <w:rsid w:val="7DDE7CFC"/>
    <w:rsid w:val="7DEA3E2D"/>
    <w:rsid w:val="7DF6361E"/>
    <w:rsid w:val="7DFE4595"/>
    <w:rsid w:val="7DFF2602"/>
    <w:rsid w:val="7E07187A"/>
    <w:rsid w:val="7E17168A"/>
    <w:rsid w:val="7E364987"/>
    <w:rsid w:val="7E501CD9"/>
    <w:rsid w:val="7E587F39"/>
    <w:rsid w:val="7EDD16E6"/>
    <w:rsid w:val="7EDFFCEE"/>
    <w:rsid w:val="7EE77ABE"/>
    <w:rsid w:val="7EEF921D"/>
    <w:rsid w:val="7F000858"/>
    <w:rsid w:val="7F0A21C6"/>
    <w:rsid w:val="7F2C79F0"/>
    <w:rsid w:val="7F3E014D"/>
    <w:rsid w:val="7F5BB292"/>
    <w:rsid w:val="7F71407E"/>
    <w:rsid w:val="7F7E4A80"/>
    <w:rsid w:val="7F960B97"/>
    <w:rsid w:val="7F9750E3"/>
    <w:rsid w:val="7FB59A58"/>
    <w:rsid w:val="7FB7A496"/>
    <w:rsid w:val="7FBE7E38"/>
    <w:rsid w:val="7FC43332"/>
    <w:rsid w:val="7FD24FA6"/>
    <w:rsid w:val="7FD73A67"/>
    <w:rsid w:val="7FD9F84D"/>
    <w:rsid w:val="7FDD0505"/>
    <w:rsid w:val="7FDF1663"/>
    <w:rsid w:val="7FE5EA3A"/>
    <w:rsid w:val="7FEB5CFB"/>
    <w:rsid w:val="7FEDC1F6"/>
    <w:rsid w:val="7FFB0F86"/>
    <w:rsid w:val="7FFD005C"/>
    <w:rsid w:val="7FFE5C77"/>
    <w:rsid w:val="7FFF06A4"/>
    <w:rsid w:val="7FFFF35C"/>
    <w:rsid w:val="87F38B30"/>
    <w:rsid w:val="9DFBC7EB"/>
    <w:rsid w:val="9F59E722"/>
    <w:rsid w:val="9FEF72CB"/>
    <w:rsid w:val="9FF715EB"/>
    <w:rsid w:val="A5C4072D"/>
    <w:rsid w:val="A5F7ECBA"/>
    <w:rsid w:val="A7D9C052"/>
    <w:rsid w:val="ABAA80E7"/>
    <w:rsid w:val="ABFFA5FD"/>
    <w:rsid w:val="ADF74D08"/>
    <w:rsid w:val="AFBF24A0"/>
    <w:rsid w:val="AFF54420"/>
    <w:rsid w:val="B2FF04BF"/>
    <w:rsid w:val="B3BE8F0E"/>
    <w:rsid w:val="B3EF88FE"/>
    <w:rsid w:val="B4FE8126"/>
    <w:rsid w:val="B77F7628"/>
    <w:rsid w:val="B7DB9734"/>
    <w:rsid w:val="B7FF08F6"/>
    <w:rsid w:val="B7FFCCD9"/>
    <w:rsid w:val="BA7FCC53"/>
    <w:rsid w:val="BAE81D29"/>
    <w:rsid w:val="BBEE4297"/>
    <w:rsid w:val="BBF68283"/>
    <w:rsid w:val="BC57AD11"/>
    <w:rsid w:val="BDED185B"/>
    <w:rsid w:val="BFBF2C4F"/>
    <w:rsid w:val="BFBFCEE0"/>
    <w:rsid w:val="BFDDD3B0"/>
    <w:rsid w:val="BFEFEC3A"/>
    <w:rsid w:val="C19F7C27"/>
    <w:rsid w:val="C3FBE5E7"/>
    <w:rsid w:val="C97B29D3"/>
    <w:rsid w:val="CEFDE571"/>
    <w:rsid w:val="CEFF0C26"/>
    <w:rsid w:val="CEFF5CD2"/>
    <w:rsid w:val="CF17CA7B"/>
    <w:rsid w:val="CF7FD557"/>
    <w:rsid w:val="CFA712B0"/>
    <w:rsid w:val="CFAF3E92"/>
    <w:rsid w:val="D3FF6189"/>
    <w:rsid w:val="D53568D1"/>
    <w:rsid w:val="D57F51AC"/>
    <w:rsid w:val="D7BD34BB"/>
    <w:rsid w:val="D7FE6729"/>
    <w:rsid w:val="DAFBDA1C"/>
    <w:rsid w:val="DAFF6988"/>
    <w:rsid w:val="DB3FE795"/>
    <w:rsid w:val="DBFE6DD1"/>
    <w:rsid w:val="DBFFBCE1"/>
    <w:rsid w:val="DCED329E"/>
    <w:rsid w:val="DCFC0F3C"/>
    <w:rsid w:val="DDD86399"/>
    <w:rsid w:val="DE3FBC5F"/>
    <w:rsid w:val="DFB7B26F"/>
    <w:rsid w:val="DFBF95B7"/>
    <w:rsid w:val="DFCE85DB"/>
    <w:rsid w:val="DFD7AB88"/>
    <w:rsid w:val="DFF7EC50"/>
    <w:rsid w:val="DFFBE0CD"/>
    <w:rsid w:val="DFFD21F9"/>
    <w:rsid w:val="DFFD30C7"/>
    <w:rsid w:val="DFFF2FD0"/>
    <w:rsid w:val="E5F79AD5"/>
    <w:rsid w:val="E7A4455E"/>
    <w:rsid w:val="E7FD755A"/>
    <w:rsid w:val="E8AE0B8C"/>
    <w:rsid w:val="E96BF28B"/>
    <w:rsid w:val="EB32262A"/>
    <w:rsid w:val="EB4AA33C"/>
    <w:rsid w:val="ECDE11E7"/>
    <w:rsid w:val="ECDFA8EB"/>
    <w:rsid w:val="ECFC3C9A"/>
    <w:rsid w:val="ED779460"/>
    <w:rsid w:val="EDFB9CCE"/>
    <w:rsid w:val="EEFE8AC3"/>
    <w:rsid w:val="EF55FEA0"/>
    <w:rsid w:val="EF7FF9F8"/>
    <w:rsid w:val="EFAB9E8F"/>
    <w:rsid w:val="EFBE11C2"/>
    <w:rsid w:val="EFD7603A"/>
    <w:rsid w:val="EFEFF8E3"/>
    <w:rsid w:val="F2B5590C"/>
    <w:rsid w:val="F36D749B"/>
    <w:rsid w:val="F4DA2F05"/>
    <w:rsid w:val="F5F77D6B"/>
    <w:rsid w:val="F6BB6991"/>
    <w:rsid w:val="F6EEAE7F"/>
    <w:rsid w:val="F6F774A7"/>
    <w:rsid w:val="F6FFF498"/>
    <w:rsid w:val="F77AA8B5"/>
    <w:rsid w:val="F77F6042"/>
    <w:rsid w:val="F7C3D235"/>
    <w:rsid w:val="F7CF0937"/>
    <w:rsid w:val="F92EC3D2"/>
    <w:rsid w:val="F9BBCA2E"/>
    <w:rsid w:val="F9BD8BD1"/>
    <w:rsid w:val="F9F4F107"/>
    <w:rsid w:val="FA9F4532"/>
    <w:rsid w:val="FAB56DE9"/>
    <w:rsid w:val="FAE7DB1B"/>
    <w:rsid w:val="FAEE9076"/>
    <w:rsid w:val="FAF2349B"/>
    <w:rsid w:val="FB7F4405"/>
    <w:rsid w:val="FBC3643A"/>
    <w:rsid w:val="FBDB6918"/>
    <w:rsid w:val="FD3736A3"/>
    <w:rsid w:val="FDDE2629"/>
    <w:rsid w:val="FDEDE18F"/>
    <w:rsid w:val="FDFF900D"/>
    <w:rsid w:val="FDFFCF79"/>
    <w:rsid w:val="FEBE4D66"/>
    <w:rsid w:val="FECA21D8"/>
    <w:rsid w:val="FED91186"/>
    <w:rsid w:val="FEDD1E9A"/>
    <w:rsid w:val="FEEE57B3"/>
    <w:rsid w:val="FEEF6E1E"/>
    <w:rsid w:val="FEFD99CD"/>
    <w:rsid w:val="FF3B38B1"/>
    <w:rsid w:val="FF5B5C79"/>
    <w:rsid w:val="FF5DD994"/>
    <w:rsid w:val="FF787EA2"/>
    <w:rsid w:val="FF7DD22D"/>
    <w:rsid w:val="FF7FC7BA"/>
    <w:rsid w:val="FF7FF7BA"/>
    <w:rsid w:val="FFB7CCCD"/>
    <w:rsid w:val="FFBF027B"/>
    <w:rsid w:val="FFBF6743"/>
    <w:rsid w:val="FFC72171"/>
    <w:rsid w:val="FFD7CFDC"/>
    <w:rsid w:val="FFDF6055"/>
    <w:rsid w:val="FFE68FC5"/>
    <w:rsid w:val="FFEB700D"/>
    <w:rsid w:val="FFF20BD3"/>
    <w:rsid w:val="FFFDF8F7"/>
    <w:rsid w:val="FFFEDF85"/>
    <w:rsid w:val="FFFF4033"/>
    <w:rsid w:val="FFFF51BF"/>
    <w:rsid w:val="FFFFB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oleObject" Target="embeddings/oleObject3.bin"/><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5306</Words>
  <Characters>6800</Characters>
  <Lines>196</Lines>
  <Paragraphs>177</Paragraphs>
  <TotalTime>2</TotalTime>
  <ScaleCrop>false</ScaleCrop>
  <LinksUpToDate>false</LinksUpToDate>
  <CharactersWithSpaces>6831</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2022-03-24T04:43:00Z</dcterms:created>
  <dc:creator>Cool狗</dc:creator>
  <cp:lastModifiedBy>test</cp:lastModifiedBy>
  <dcterms:modified xsi:type="dcterms:W3CDTF">2022-07-11T14:39:05Z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7050603643E0472A96C6DD7B2C8CB945</vt:lpwstr>
  </property>
</Properties>
</file>